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360" w:lineRule="auto"/>
        <w:jc w:val="both"/>
        <w:rPr>
          <w:rFonts w:ascii="仿宋_GB2312" w:hAnsi="宋体" w:eastAsia="仿宋_GB2312" w:cs="仿宋_GB2312"/>
          <w:b/>
          <w:bCs/>
          <w:sz w:val="32"/>
          <w:szCs w:val="32"/>
          <w:shd w:val="clear" w:color="auto" w:fill="FFFFFF"/>
        </w:rPr>
      </w:pPr>
    </w:p>
    <w:p>
      <w:pPr>
        <w:widowControl/>
        <w:snapToGrid w:val="0"/>
        <w:spacing w:line="360" w:lineRule="auto"/>
        <w:jc w:val="center"/>
        <w:rPr>
          <w:rFonts w:hint="eastAsia" w:ascii="仿宋_GB2312" w:hAnsi="宋体" w:eastAsia="仿宋_GB2312" w:cs="仿宋_GB2312"/>
          <w:b/>
          <w:bCs/>
          <w:sz w:val="40"/>
          <w:szCs w:val="40"/>
          <w:shd w:val="clear" w:color="auto" w:fill="FFFFFF"/>
          <w:lang w:eastAsia="zh-CN"/>
        </w:rPr>
      </w:pPr>
      <w:r>
        <w:rPr>
          <w:rFonts w:hint="eastAsia" w:ascii="仿宋_GB2312" w:hAnsi="宋体" w:eastAsia="仿宋_GB2312" w:cs="仿宋_GB2312"/>
          <w:b/>
          <w:bCs/>
          <w:sz w:val="40"/>
          <w:szCs w:val="40"/>
          <w:shd w:val="clear" w:color="auto" w:fill="FFFFFF"/>
        </w:rPr>
        <w:t>广东一新长城建筑集团有限公司</w:t>
      </w:r>
      <w:r>
        <w:rPr>
          <w:rFonts w:ascii="仿宋_GB2312" w:hAnsi="宋体" w:eastAsia="仿宋_GB2312" w:cs="仿宋_GB2312"/>
          <w:b/>
          <w:bCs/>
          <w:sz w:val="40"/>
          <w:szCs w:val="40"/>
          <w:shd w:val="clear" w:color="auto" w:fill="FFFFFF"/>
        </w:rPr>
        <w:t>钢筋</w:t>
      </w:r>
      <w:r>
        <w:rPr>
          <w:rFonts w:hint="eastAsia" w:ascii="仿宋_GB2312" w:hAnsi="宋体" w:eastAsia="仿宋_GB2312" w:cs="仿宋_GB2312"/>
          <w:b/>
          <w:bCs/>
          <w:sz w:val="40"/>
          <w:szCs w:val="40"/>
          <w:shd w:val="clear" w:color="auto" w:fill="FFFFFF"/>
          <w:lang w:eastAsia="zh-CN"/>
        </w:rPr>
        <w:t>、混凝土</w:t>
      </w:r>
      <w:r>
        <w:rPr>
          <w:rFonts w:ascii="仿宋_GB2312" w:hAnsi="宋体" w:eastAsia="仿宋_GB2312" w:cs="仿宋_GB2312"/>
          <w:b/>
          <w:bCs/>
          <w:sz w:val="40"/>
          <w:szCs w:val="40"/>
          <w:shd w:val="clear" w:color="auto" w:fill="FFFFFF"/>
        </w:rPr>
        <w:t>材料采购类合格供应商企业库建库项目</w:t>
      </w:r>
      <w:r>
        <w:rPr>
          <w:rFonts w:hint="eastAsia" w:ascii="仿宋_GB2312" w:hAnsi="宋体" w:eastAsia="仿宋_GB2312" w:cs="仿宋_GB2312"/>
          <w:b/>
          <w:bCs/>
          <w:sz w:val="40"/>
          <w:szCs w:val="40"/>
          <w:shd w:val="clear" w:color="auto" w:fill="FFFFFF"/>
          <w:lang w:eastAsia="zh-CN"/>
        </w:rPr>
        <w:t>（</w:t>
      </w:r>
      <w:r>
        <w:rPr>
          <w:rFonts w:hint="eastAsia" w:ascii="仿宋_GB2312" w:hAnsi="宋体" w:eastAsia="仿宋_GB2312" w:cs="仿宋_GB2312"/>
          <w:b/>
          <w:bCs/>
          <w:sz w:val="40"/>
          <w:szCs w:val="40"/>
          <w:shd w:val="clear" w:color="auto" w:fill="FFFFFF"/>
          <w:lang w:val="en-US" w:eastAsia="zh-CN"/>
        </w:rPr>
        <w:t>第二次</w:t>
      </w:r>
      <w:r>
        <w:rPr>
          <w:rFonts w:hint="eastAsia" w:ascii="仿宋_GB2312" w:hAnsi="宋体" w:eastAsia="仿宋_GB2312" w:cs="仿宋_GB2312"/>
          <w:b/>
          <w:bCs/>
          <w:sz w:val="40"/>
          <w:szCs w:val="40"/>
          <w:shd w:val="clear" w:color="auto" w:fill="FFFFFF"/>
          <w:lang w:eastAsia="zh-CN"/>
        </w:rPr>
        <w:t>）</w:t>
      </w:r>
    </w:p>
    <w:p>
      <w:pPr>
        <w:widowControl/>
        <w:snapToGrid w:val="0"/>
        <w:spacing w:line="360" w:lineRule="auto"/>
        <w:jc w:val="left"/>
        <w:rPr>
          <w:rFonts w:ascii="仿宋_GB2312" w:hAnsi="宋体" w:eastAsia="仿宋_GB2312" w:cs="仿宋_GB2312"/>
          <w:b/>
          <w:bCs/>
          <w:sz w:val="32"/>
          <w:szCs w:val="32"/>
          <w:shd w:val="clear" w:color="auto" w:fill="FFFFFF"/>
        </w:rPr>
      </w:pPr>
    </w:p>
    <w:p>
      <w:pPr>
        <w:widowControl/>
        <w:snapToGrid w:val="0"/>
        <w:spacing w:line="360" w:lineRule="auto"/>
        <w:jc w:val="left"/>
        <w:rPr>
          <w:rFonts w:ascii="仿宋_GB2312" w:hAnsi="宋体" w:eastAsia="仿宋_GB2312" w:cs="仿宋_GB2312"/>
          <w:b/>
          <w:bCs/>
          <w:sz w:val="32"/>
          <w:szCs w:val="32"/>
          <w:shd w:val="clear" w:color="auto" w:fill="FFFFFF"/>
        </w:rPr>
      </w:pPr>
    </w:p>
    <w:p>
      <w:pPr>
        <w:widowControl/>
        <w:snapToGrid w:val="0"/>
        <w:spacing w:line="360" w:lineRule="auto"/>
        <w:jc w:val="left"/>
        <w:rPr>
          <w:rFonts w:ascii="仿宋_GB2312" w:hAnsi="宋体" w:eastAsia="仿宋_GB2312" w:cs="仿宋_GB2312"/>
          <w:b/>
          <w:bCs/>
          <w:sz w:val="32"/>
          <w:szCs w:val="32"/>
          <w:shd w:val="clear" w:color="auto" w:fill="FFFFFF"/>
        </w:rPr>
      </w:pPr>
    </w:p>
    <w:p>
      <w:pPr>
        <w:widowControl/>
        <w:snapToGrid w:val="0"/>
        <w:spacing w:line="360" w:lineRule="auto"/>
        <w:jc w:val="left"/>
        <w:rPr>
          <w:rFonts w:ascii="仿宋_GB2312" w:hAnsi="宋体" w:eastAsia="仿宋_GB2312" w:cs="仿宋_GB2312"/>
          <w:b/>
          <w:bCs/>
          <w:sz w:val="32"/>
          <w:szCs w:val="32"/>
          <w:shd w:val="clear" w:color="auto" w:fill="FFFFFF"/>
        </w:rPr>
      </w:pPr>
    </w:p>
    <w:p>
      <w:pPr>
        <w:widowControl/>
        <w:snapToGrid w:val="0"/>
        <w:spacing w:line="360" w:lineRule="auto"/>
        <w:jc w:val="left"/>
        <w:rPr>
          <w:rFonts w:ascii="仿宋_GB2312" w:hAnsi="宋体" w:eastAsia="仿宋_GB2312" w:cs="仿宋_GB2312"/>
          <w:b/>
          <w:bCs/>
          <w:sz w:val="32"/>
          <w:szCs w:val="32"/>
          <w:shd w:val="clear" w:color="auto" w:fill="FFFFFF"/>
        </w:rPr>
      </w:pPr>
    </w:p>
    <w:p>
      <w:pPr>
        <w:widowControl/>
        <w:snapToGrid w:val="0"/>
        <w:spacing w:line="360" w:lineRule="auto"/>
        <w:jc w:val="center"/>
        <w:rPr>
          <w:rFonts w:ascii="仿宋_GB2312" w:hAnsi="宋体" w:eastAsia="仿宋_GB2312" w:cs="仿宋_GB2312"/>
          <w:b/>
          <w:bCs/>
          <w:sz w:val="56"/>
          <w:szCs w:val="56"/>
          <w:shd w:val="clear" w:color="auto" w:fill="FFFFFF"/>
        </w:rPr>
      </w:pPr>
      <w:r>
        <w:rPr>
          <w:rFonts w:hint="eastAsia" w:ascii="仿宋_GB2312" w:hAnsi="宋体" w:eastAsia="仿宋_GB2312" w:cs="仿宋_GB2312"/>
          <w:b/>
          <w:bCs/>
          <w:sz w:val="56"/>
          <w:szCs w:val="56"/>
          <w:shd w:val="clear" w:color="auto" w:fill="FFFFFF"/>
        </w:rPr>
        <w:t>资格审查文件</w:t>
      </w:r>
    </w:p>
    <w:p>
      <w:pPr>
        <w:widowControl/>
        <w:snapToGrid w:val="0"/>
        <w:spacing w:line="360" w:lineRule="auto"/>
        <w:jc w:val="center"/>
        <w:rPr>
          <w:rFonts w:hint="eastAsia" w:ascii="仿宋_GB2312" w:hAnsi="宋体" w:eastAsia="仿宋_GB2312" w:cs="仿宋_GB2312"/>
          <w:b/>
          <w:bCs/>
          <w:sz w:val="56"/>
          <w:szCs w:val="56"/>
          <w:shd w:val="clear" w:color="auto" w:fill="FFFFFF"/>
          <w:lang w:eastAsia="zh-CN"/>
        </w:rPr>
      </w:pPr>
      <w:r>
        <w:rPr>
          <w:rFonts w:hint="eastAsia" w:ascii="仿宋_GB2312" w:hAnsi="宋体" w:eastAsia="仿宋_GB2312" w:cs="仿宋_GB2312"/>
          <w:b/>
          <w:bCs/>
          <w:sz w:val="56"/>
          <w:szCs w:val="56"/>
          <w:shd w:val="clear" w:color="auto" w:fill="FFFFFF"/>
          <w:lang w:eastAsia="zh-CN"/>
        </w:rPr>
        <w:t>（钢筋供应商子库）</w:t>
      </w:r>
    </w:p>
    <w:p>
      <w:pPr>
        <w:widowControl/>
        <w:snapToGrid w:val="0"/>
        <w:spacing w:line="360" w:lineRule="auto"/>
        <w:jc w:val="both"/>
        <w:rPr>
          <w:rFonts w:ascii="仿宋_GB2312" w:hAnsi="宋体" w:eastAsia="仿宋_GB2312" w:cs="仿宋_GB2312"/>
          <w:b/>
          <w:bCs/>
          <w:sz w:val="72"/>
          <w:szCs w:val="72"/>
          <w:shd w:val="clear" w:color="auto" w:fill="FFFFFF"/>
        </w:rPr>
      </w:pPr>
    </w:p>
    <w:p>
      <w:pPr>
        <w:widowControl/>
        <w:snapToGrid w:val="0"/>
        <w:spacing w:line="360" w:lineRule="auto"/>
        <w:jc w:val="center"/>
        <w:rPr>
          <w:rFonts w:ascii="仿宋_GB2312" w:hAnsi="宋体" w:eastAsia="仿宋_GB2312" w:cs="仿宋_GB2312"/>
          <w:b/>
          <w:bCs/>
          <w:sz w:val="72"/>
          <w:szCs w:val="72"/>
          <w:shd w:val="clear" w:color="auto" w:fill="FFFFFF"/>
        </w:rPr>
      </w:pPr>
    </w:p>
    <w:p>
      <w:pPr>
        <w:widowControl/>
        <w:snapToGrid w:val="0"/>
        <w:spacing w:line="360" w:lineRule="auto"/>
        <w:ind w:left="840" w:firstLine="420"/>
        <w:rPr>
          <w:rFonts w:ascii="仿宋_GB2312" w:hAnsi="宋体" w:eastAsia="仿宋_GB2312" w:cs="仿宋_GB2312"/>
          <w:b/>
          <w:bCs/>
          <w:sz w:val="32"/>
          <w:szCs w:val="32"/>
          <w:shd w:val="clear" w:color="auto" w:fill="FFFFFF"/>
        </w:rPr>
      </w:pPr>
      <w:r>
        <w:rPr>
          <w:rFonts w:hint="eastAsia" w:ascii="仿宋_GB2312" w:hAnsi="宋体" w:eastAsia="仿宋_GB2312" w:cs="仿宋_GB2312"/>
          <w:b/>
          <w:bCs/>
          <w:sz w:val="32"/>
          <w:szCs w:val="32"/>
          <w:shd w:val="clear" w:color="auto" w:fill="FFFFFF"/>
        </w:rPr>
        <w:t>招 标 人：广东一新长城建筑集团有限公司</w:t>
      </w:r>
    </w:p>
    <w:p>
      <w:pPr>
        <w:widowControl/>
        <w:snapToGrid w:val="0"/>
        <w:spacing w:line="360" w:lineRule="auto"/>
        <w:ind w:left="840" w:firstLine="420"/>
        <w:rPr>
          <w:rFonts w:ascii="仿宋_GB2312" w:hAnsi="宋体" w:eastAsia="仿宋_GB2312" w:cs="仿宋_GB2312"/>
          <w:b/>
          <w:bCs/>
          <w:sz w:val="32"/>
          <w:szCs w:val="32"/>
          <w:shd w:val="clear" w:color="auto" w:fill="FFFFFF"/>
        </w:rPr>
      </w:pPr>
      <w:r>
        <w:rPr>
          <w:rFonts w:hint="eastAsia" w:ascii="仿宋_GB2312" w:hAnsi="宋体" w:eastAsia="仿宋_GB2312" w:cs="仿宋_GB2312"/>
          <w:b/>
          <w:bCs/>
          <w:sz w:val="32"/>
          <w:szCs w:val="32"/>
          <w:shd w:val="clear" w:color="auto" w:fill="FFFFFF"/>
        </w:rPr>
        <w:t>招标代理：广东</w:t>
      </w:r>
      <w:r>
        <w:rPr>
          <w:rFonts w:hint="eastAsia" w:ascii="仿宋_GB2312" w:hAnsi="宋体" w:eastAsia="仿宋_GB2312" w:cs="仿宋_GB2312"/>
          <w:b/>
          <w:bCs/>
          <w:sz w:val="32"/>
          <w:szCs w:val="32"/>
          <w:shd w:val="clear" w:color="auto" w:fill="FFFFFF"/>
          <w:lang w:eastAsia="zh-CN"/>
        </w:rPr>
        <w:t>科信</w:t>
      </w:r>
      <w:r>
        <w:rPr>
          <w:rFonts w:hint="eastAsia" w:ascii="仿宋_GB2312" w:hAnsi="宋体" w:eastAsia="仿宋_GB2312" w:cs="仿宋_GB2312"/>
          <w:b/>
          <w:bCs/>
          <w:sz w:val="32"/>
          <w:szCs w:val="32"/>
          <w:shd w:val="clear" w:color="auto" w:fill="FFFFFF"/>
        </w:rPr>
        <w:t>工程管理有限公司</w:t>
      </w:r>
    </w:p>
    <w:p>
      <w:pPr>
        <w:widowControl/>
        <w:snapToGrid w:val="0"/>
        <w:spacing w:line="360" w:lineRule="auto"/>
        <w:ind w:left="840" w:firstLine="420"/>
        <w:rPr>
          <w:rFonts w:ascii="仿宋_GB2312" w:hAnsi="宋体" w:eastAsia="仿宋_GB2312" w:cs="仿宋_GB2312"/>
          <w:kern w:val="0"/>
          <w:sz w:val="32"/>
          <w:szCs w:val="32"/>
          <w:shd w:val="clear" w:color="auto" w:fill="FFFFFF"/>
        </w:rPr>
      </w:pPr>
      <w:r>
        <w:rPr>
          <w:rFonts w:hint="eastAsia" w:ascii="仿宋_GB2312" w:hAnsi="宋体" w:eastAsia="仿宋_GB2312" w:cs="仿宋_GB2312"/>
          <w:b/>
          <w:bCs/>
          <w:sz w:val="32"/>
          <w:szCs w:val="32"/>
          <w:shd w:val="clear" w:color="auto" w:fill="FFFFFF"/>
        </w:rPr>
        <w:t>日    期：</w:t>
      </w:r>
      <w:r>
        <w:rPr>
          <w:rFonts w:hint="eastAsia" w:ascii="仿宋_GB2312" w:hAnsi="宋体" w:eastAsia="仿宋_GB2312" w:cs="仿宋_GB2312"/>
          <w:b/>
          <w:bCs/>
          <w:color w:val="000000" w:themeColor="text1"/>
          <w:sz w:val="32"/>
          <w:szCs w:val="32"/>
          <w:shd w:val="clear" w:color="auto" w:fill="FFFFFF"/>
          <w14:textFill>
            <w14:solidFill>
              <w14:schemeClr w14:val="tx1"/>
            </w14:solidFill>
          </w14:textFill>
        </w:rPr>
        <w:t>20</w:t>
      </w:r>
      <w:r>
        <w:rPr>
          <w:rFonts w:hint="eastAsia" w:ascii="仿宋_GB2312" w:hAnsi="宋体" w:eastAsia="仿宋_GB2312" w:cs="仿宋_GB2312"/>
          <w:b/>
          <w:bCs/>
          <w:color w:val="000000" w:themeColor="text1"/>
          <w:sz w:val="32"/>
          <w:szCs w:val="32"/>
          <w:shd w:val="clear" w:color="auto" w:fill="FFFFFF"/>
          <w:lang w:val="en-US" w:eastAsia="zh-CN"/>
          <w14:textFill>
            <w14:solidFill>
              <w14:schemeClr w14:val="tx1"/>
            </w14:solidFill>
          </w14:textFill>
        </w:rPr>
        <w:t>20</w:t>
      </w:r>
      <w:r>
        <w:rPr>
          <w:rFonts w:hint="eastAsia" w:ascii="仿宋_GB2312" w:hAnsi="宋体" w:eastAsia="仿宋_GB2312" w:cs="仿宋_GB2312"/>
          <w:b/>
          <w:bCs/>
          <w:color w:val="000000" w:themeColor="text1"/>
          <w:sz w:val="32"/>
          <w:szCs w:val="32"/>
          <w:shd w:val="clear" w:color="auto" w:fill="FFFFFF"/>
          <w14:textFill>
            <w14:solidFill>
              <w14:schemeClr w14:val="tx1"/>
            </w14:solidFill>
          </w14:textFill>
        </w:rPr>
        <w:t>年</w:t>
      </w:r>
      <w:r>
        <w:rPr>
          <w:rFonts w:hint="eastAsia" w:ascii="仿宋_GB2312" w:hAnsi="宋体" w:eastAsia="仿宋_GB2312" w:cs="仿宋_GB2312"/>
          <w:b/>
          <w:bCs/>
          <w:color w:val="000000" w:themeColor="text1"/>
          <w:sz w:val="32"/>
          <w:szCs w:val="32"/>
          <w:shd w:val="clear" w:color="auto" w:fill="FFFFFF"/>
          <w:lang w:val="en-US" w:eastAsia="zh-CN"/>
          <w14:textFill>
            <w14:solidFill>
              <w14:schemeClr w14:val="tx1"/>
            </w14:solidFill>
          </w14:textFill>
        </w:rPr>
        <w:t xml:space="preserve">4 </w:t>
      </w:r>
      <w:r>
        <w:rPr>
          <w:rFonts w:hint="eastAsia" w:ascii="仿宋_GB2312" w:hAnsi="宋体" w:eastAsia="仿宋_GB2312" w:cs="仿宋_GB2312"/>
          <w:b/>
          <w:bCs/>
          <w:color w:val="000000" w:themeColor="text1"/>
          <w:sz w:val="32"/>
          <w:szCs w:val="32"/>
          <w:shd w:val="clear" w:color="auto" w:fill="FFFFFF"/>
          <w14:textFill>
            <w14:solidFill>
              <w14:schemeClr w14:val="tx1"/>
            </w14:solidFill>
          </w14:textFill>
        </w:rPr>
        <w:t>月</w:t>
      </w:r>
      <w:r>
        <w:rPr>
          <w:rFonts w:hint="eastAsia" w:ascii="仿宋_GB2312" w:hAnsi="宋体" w:eastAsia="仿宋_GB2312" w:cs="仿宋_GB2312"/>
          <w:b/>
          <w:bCs/>
          <w:color w:val="000000" w:themeColor="text1"/>
          <w:sz w:val="32"/>
          <w:szCs w:val="32"/>
          <w:shd w:val="clear" w:color="auto" w:fill="FFFFFF"/>
          <w:lang w:val="en-US" w:eastAsia="zh-CN"/>
          <w14:textFill>
            <w14:solidFill>
              <w14:schemeClr w14:val="tx1"/>
            </w14:solidFill>
          </w14:textFill>
        </w:rPr>
        <w:t xml:space="preserve">  </w:t>
      </w:r>
      <w:bookmarkStart w:id="1" w:name="_GoBack"/>
      <w:bookmarkEnd w:id="1"/>
      <w:r>
        <w:rPr>
          <w:rFonts w:ascii="仿宋_GB2312" w:hAnsi="宋体" w:eastAsia="仿宋_GB2312" w:cs="仿宋_GB2312"/>
          <w:kern w:val="0"/>
          <w:sz w:val="32"/>
          <w:szCs w:val="32"/>
          <w:shd w:val="clear" w:color="auto" w:fill="FFFFFF"/>
        </w:rPr>
        <w:br w:type="page"/>
      </w:r>
    </w:p>
    <w:p>
      <w:pPr>
        <w:widowControl/>
        <w:snapToGrid w:val="0"/>
        <w:spacing w:beforeAutospacing="1" w:afterAutospacing="1" w:line="360" w:lineRule="auto"/>
        <w:jc w:val="center"/>
        <w:rPr>
          <w:rFonts w:ascii="仿宋_GB2312" w:hAnsi="宋体" w:eastAsia="仿宋_GB2312" w:cs="宋体"/>
          <w:kern w:val="0"/>
          <w:sz w:val="24"/>
          <w:shd w:val="clear" w:color="auto" w:fill="FFFFFF"/>
        </w:rPr>
      </w:pPr>
      <w:r>
        <w:rPr>
          <w:rFonts w:ascii="仿宋_GB2312" w:hAnsi="宋体" w:eastAsia="仿宋_GB2312" w:cs="宋体"/>
          <w:b/>
          <w:kern w:val="0"/>
          <w:sz w:val="32"/>
          <w:szCs w:val="32"/>
          <w:shd w:val="clear" w:color="auto" w:fill="FFFFFF"/>
        </w:rPr>
        <w:t>资格审查评审细则</w:t>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lang w:val="zh-CN"/>
        </w:rPr>
        <w:t>招标人：</w:t>
      </w:r>
      <w:r>
        <w:rPr>
          <w:rFonts w:hint="eastAsia" w:ascii="仿宋_GB2312" w:hAnsi="宋体" w:eastAsia="仿宋_GB2312" w:cs="仿宋_GB2312"/>
          <w:kern w:val="0"/>
          <w:sz w:val="24"/>
          <w:shd w:val="clear" w:color="auto" w:fill="FFFFFF"/>
          <w:lang w:val="zh-CN"/>
        </w:rPr>
        <w:t>广东一新长城建筑集团有限公司</w:t>
      </w:r>
    </w:p>
    <w:p>
      <w:pPr>
        <w:widowControl/>
        <w:snapToGrid w:val="0"/>
        <w:spacing w:line="360" w:lineRule="auto"/>
        <w:jc w:val="left"/>
        <w:rPr>
          <w:rFonts w:ascii="仿宋_GB2312" w:hAnsi="宋体" w:eastAsia="仿宋_GB2312" w:cs="仿宋_GB2312"/>
          <w:kern w:val="0"/>
          <w:sz w:val="24"/>
          <w:shd w:val="clear" w:color="auto" w:fill="FFFFFF"/>
          <w:lang w:val="zh-CN"/>
        </w:rPr>
      </w:pPr>
    </w:p>
    <w:p>
      <w:pPr>
        <w:widowControl/>
        <w:snapToGrid w:val="0"/>
        <w:spacing w:line="360" w:lineRule="auto"/>
        <w:jc w:val="center"/>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lang w:val="zh-CN"/>
        </w:rPr>
        <w:t>资格审查文件通用条款</w:t>
      </w:r>
    </w:p>
    <w:p>
      <w:pPr>
        <w:widowControl/>
        <w:snapToGrid w:val="0"/>
        <w:spacing w:line="360" w:lineRule="auto"/>
        <w:jc w:val="left"/>
        <w:rPr>
          <w:rFonts w:ascii="仿宋_GB2312" w:hAnsi="宋体" w:eastAsia="仿宋_GB2312" w:cs="仿宋_GB2312"/>
          <w:b/>
          <w:kern w:val="0"/>
          <w:sz w:val="24"/>
          <w:shd w:val="clear" w:color="auto" w:fill="FFFFFF"/>
        </w:rPr>
      </w:pPr>
      <w:r>
        <w:rPr>
          <w:rFonts w:ascii="仿宋_GB2312" w:hAnsi="宋体" w:eastAsia="仿宋_GB2312" w:cs="仿宋_GB2312"/>
          <w:b/>
          <w:kern w:val="0"/>
          <w:sz w:val="24"/>
          <w:shd w:val="clear" w:color="auto" w:fill="FFFFFF"/>
        </w:rPr>
        <w:t>1.</w:t>
      </w:r>
      <w:r>
        <w:rPr>
          <w:rFonts w:ascii="仿宋_GB2312" w:hAnsi="宋体" w:eastAsia="仿宋_GB2312" w:cs="仿宋_GB2312"/>
          <w:b/>
          <w:kern w:val="0"/>
          <w:sz w:val="24"/>
          <w:shd w:val="clear" w:color="auto" w:fill="FFFFFF"/>
          <w:lang w:val="zh-CN"/>
        </w:rPr>
        <w:t>申请人须知</w:t>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 xml:space="preserve">1.1 </w:t>
      </w:r>
      <w:r>
        <w:rPr>
          <w:rFonts w:ascii="仿宋_GB2312" w:hAnsi="宋体" w:eastAsia="仿宋_GB2312" w:cs="仿宋_GB2312"/>
          <w:kern w:val="0"/>
          <w:sz w:val="24"/>
          <w:shd w:val="clear" w:color="auto" w:fill="FFFFFF"/>
          <w:lang w:val="zh-CN"/>
        </w:rPr>
        <w:t>本招标人按照《中华人民共和国招标投标法》（中华人民共和国主席令第</w:t>
      </w:r>
      <w:r>
        <w:rPr>
          <w:rFonts w:ascii="仿宋_GB2312" w:hAnsi="宋体" w:eastAsia="仿宋_GB2312" w:cs="仿宋_GB2312"/>
          <w:kern w:val="0"/>
          <w:sz w:val="24"/>
          <w:shd w:val="clear" w:color="auto" w:fill="FFFFFF"/>
        </w:rPr>
        <w:t>21</w:t>
      </w:r>
      <w:r>
        <w:rPr>
          <w:rFonts w:ascii="仿宋_GB2312" w:hAnsi="宋体" w:eastAsia="仿宋_GB2312" w:cs="仿宋_GB2312"/>
          <w:kern w:val="0"/>
          <w:sz w:val="24"/>
          <w:shd w:val="clear" w:color="auto" w:fill="FFFFFF"/>
          <w:lang w:val="zh-CN"/>
        </w:rPr>
        <w:t>号）、国家计委第</w:t>
      </w:r>
      <w:r>
        <w:rPr>
          <w:rFonts w:ascii="仿宋_GB2312" w:hAnsi="宋体" w:eastAsia="仿宋_GB2312" w:cs="仿宋_GB2312"/>
          <w:kern w:val="0"/>
          <w:sz w:val="24"/>
          <w:shd w:val="clear" w:color="auto" w:fill="FFFFFF"/>
        </w:rPr>
        <w:t>4</w:t>
      </w:r>
      <w:r>
        <w:rPr>
          <w:rFonts w:ascii="仿宋_GB2312" w:hAnsi="宋体" w:eastAsia="仿宋_GB2312" w:cs="仿宋_GB2312"/>
          <w:kern w:val="0"/>
          <w:sz w:val="24"/>
          <w:shd w:val="clear" w:color="auto" w:fill="FFFFFF"/>
          <w:lang w:val="zh-CN"/>
        </w:rPr>
        <w:t>号令《招标公告发布暂行办法》、《广州市房屋建筑与市政基础设施工程施工公开招标正式投标人确定方式的规定》、《广州市房屋建筑与市政基础设施工程施工公开招标评标委员会和评标办法规定》（穗建法</w:t>
      </w:r>
      <w:r>
        <w:rPr>
          <w:rFonts w:ascii="仿宋_GB2312" w:hAnsi="宋体" w:eastAsia="仿宋_GB2312" w:cs="仿宋_GB2312"/>
          <w:kern w:val="0"/>
          <w:sz w:val="24"/>
          <w:shd w:val="clear" w:color="auto" w:fill="FFFFFF"/>
        </w:rPr>
        <w:t>[2005]161</w:t>
      </w:r>
      <w:r>
        <w:rPr>
          <w:rFonts w:ascii="仿宋_GB2312" w:hAnsi="宋体" w:eastAsia="仿宋_GB2312" w:cs="仿宋_GB2312"/>
          <w:kern w:val="0"/>
          <w:sz w:val="24"/>
          <w:shd w:val="clear" w:color="auto" w:fill="FFFFFF"/>
          <w:lang w:val="zh-CN"/>
        </w:rPr>
        <w:t>号）等有关法律法规对招标公告所列项目进行公开招标，招标工作严格按国家和省市政府的有关法律、法规及相关规定进行。</w:t>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 xml:space="preserve">1.2 </w:t>
      </w:r>
      <w:r>
        <w:rPr>
          <w:rFonts w:ascii="仿宋_GB2312" w:hAnsi="宋体" w:eastAsia="仿宋_GB2312" w:cs="仿宋_GB2312"/>
          <w:kern w:val="0"/>
          <w:sz w:val="24"/>
          <w:shd w:val="clear" w:color="auto" w:fill="FFFFFF"/>
          <w:lang w:val="zh-CN"/>
        </w:rPr>
        <w:t>招标人，工程名称，工程建设地点等相关情况均详见本项目招标公告。</w:t>
      </w:r>
    </w:p>
    <w:p>
      <w:pPr>
        <w:widowControl/>
        <w:snapToGrid w:val="0"/>
        <w:spacing w:line="360" w:lineRule="auto"/>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1.3自资格审查申请文件递交之日起计，申请人在资格审查申请文件中载明的所有承诺性意思表示的有效期必须符合本</w:t>
      </w:r>
      <w:r>
        <w:rPr>
          <w:rFonts w:hint="eastAsia" w:ascii="仿宋_GB2312" w:hAnsi="宋体" w:eastAsia="仿宋_GB2312" w:cs="仿宋_GB2312"/>
          <w:kern w:val="0"/>
          <w:sz w:val="24"/>
          <w:shd w:val="clear" w:color="auto" w:fill="FFFFFF"/>
          <w:lang w:val="zh-CN"/>
        </w:rPr>
        <w:t>招标公告</w:t>
      </w:r>
      <w:r>
        <w:rPr>
          <w:rFonts w:ascii="仿宋_GB2312" w:hAnsi="宋体" w:eastAsia="仿宋_GB2312" w:cs="仿宋_GB2312"/>
          <w:kern w:val="0"/>
          <w:sz w:val="24"/>
          <w:shd w:val="clear" w:color="auto" w:fill="FFFFFF"/>
          <w:lang w:val="zh-CN"/>
        </w:rPr>
        <w:t>的要求，除非申请人未能进入</w:t>
      </w:r>
      <w:r>
        <w:rPr>
          <w:rFonts w:hint="eastAsia" w:ascii="仿宋_GB2312" w:hAnsi="宋体" w:eastAsia="仿宋_GB2312" w:cs="仿宋_GB2312"/>
          <w:kern w:val="0"/>
          <w:sz w:val="24"/>
          <w:shd w:val="clear" w:color="auto" w:fill="FFFFFF"/>
          <w:lang w:val="zh-CN"/>
        </w:rPr>
        <w:t>广东一新长城建筑集团有限公司钢筋、混凝土材料采购类合格供应商企业库</w:t>
      </w:r>
      <w:r>
        <w:rPr>
          <w:rFonts w:ascii="仿宋_GB2312" w:hAnsi="宋体" w:eastAsia="仿宋_GB2312" w:cs="仿宋_GB2312"/>
          <w:kern w:val="0"/>
          <w:sz w:val="24"/>
          <w:shd w:val="clear" w:color="auto" w:fill="FFFFFF"/>
          <w:lang w:val="zh-CN"/>
        </w:rPr>
        <w:t>、退出或被清退</w:t>
      </w:r>
      <w:r>
        <w:rPr>
          <w:rFonts w:hint="eastAsia" w:ascii="仿宋_GB2312" w:hAnsi="宋体" w:eastAsia="仿宋_GB2312" w:cs="仿宋_GB2312"/>
          <w:kern w:val="0"/>
          <w:sz w:val="24"/>
          <w:shd w:val="clear" w:color="auto" w:fill="FFFFFF"/>
          <w:lang w:val="zh-CN"/>
        </w:rPr>
        <w:t>广东一新长城建筑集团有限公司钢筋、混凝土材料采购类合格供应商企业库</w:t>
      </w:r>
      <w:r>
        <w:rPr>
          <w:rFonts w:ascii="仿宋_GB2312" w:hAnsi="宋体" w:eastAsia="仿宋_GB2312" w:cs="仿宋_GB2312"/>
          <w:kern w:val="0"/>
          <w:sz w:val="24"/>
          <w:shd w:val="clear" w:color="auto" w:fill="FFFFFF"/>
          <w:lang w:val="zh-CN"/>
        </w:rPr>
        <w:t>。在项目实施时，招标人将</w:t>
      </w:r>
      <w:r>
        <w:rPr>
          <w:rFonts w:hint="eastAsia" w:ascii="仿宋_GB2312" w:hAnsi="宋体" w:eastAsia="仿宋_GB2312" w:cs="仿宋_GB2312"/>
          <w:kern w:val="0"/>
          <w:sz w:val="24"/>
          <w:shd w:val="clear" w:color="auto" w:fill="FFFFFF"/>
          <w:lang w:val="zh-CN"/>
        </w:rPr>
        <w:t>随机抽取</w:t>
      </w:r>
      <w:r>
        <w:rPr>
          <w:rFonts w:ascii="仿宋_GB2312" w:hAnsi="宋体" w:eastAsia="仿宋_GB2312" w:cs="仿宋_GB2312"/>
          <w:kern w:val="0"/>
          <w:sz w:val="24"/>
          <w:shd w:val="clear" w:color="auto" w:fill="FFFFFF"/>
          <w:lang w:val="zh-CN"/>
        </w:rPr>
        <w:t>合格供应商</w:t>
      </w:r>
      <w:r>
        <w:rPr>
          <w:rFonts w:hint="eastAsia" w:ascii="仿宋_GB2312" w:hAnsi="宋体" w:eastAsia="仿宋_GB2312" w:cs="仿宋_GB2312"/>
          <w:kern w:val="0"/>
          <w:sz w:val="24"/>
          <w:shd w:val="clear" w:color="auto" w:fill="FFFFFF"/>
          <w:lang w:val="zh-CN"/>
        </w:rPr>
        <w:t>作为项目的材料供应商</w:t>
      </w:r>
      <w:r>
        <w:rPr>
          <w:rFonts w:ascii="仿宋_GB2312" w:hAnsi="宋体" w:eastAsia="仿宋_GB2312" w:cs="仿宋_GB2312"/>
          <w:kern w:val="0"/>
          <w:sz w:val="24"/>
          <w:shd w:val="clear" w:color="auto" w:fill="FFFFFF"/>
          <w:lang w:val="zh-CN"/>
        </w:rPr>
        <w:t>。</w:t>
      </w:r>
    </w:p>
    <w:p>
      <w:pPr>
        <w:widowControl/>
        <w:snapToGrid w:val="0"/>
        <w:spacing w:line="360" w:lineRule="auto"/>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1.4资格审查申请文件的编制</w:t>
      </w:r>
    </w:p>
    <w:p>
      <w:pPr>
        <w:widowControl/>
        <w:snapToGrid w:val="0"/>
        <w:spacing w:line="360" w:lineRule="auto"/>
        <w:ind w:left="424" w:leftChars="202" w:firstLine="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1.4.1申请人的资格审查申请文件封面应注明相应的项目名称、及申请人的法人名称，并加盖公章。</w:t>
      </w:r>
    </w:p>
    <w:p>
      <w:pPr>
        <w:widowControl/>
        <w:snapToGrid w:val="0"/>
        <w:spacing w:line="360" w:lineRule="auto"/>
        <w:ind w:left="424" w:leftChars="202" w:firstLine="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1.4.2申请人报名时须提交的资料详见附件二《申请人报名提交资料一览表》，份数见招标公告。</w:t>
      </w:r>
    </w:p>
    <w:p>
      <w:pPr>
        <w:widowControl/>
        <w:snapToGrid w:val="0"/>
        <w:spacing w:line="360" w:lineRule="auto"/>
        <w:ind w:left="424" w:leftChars="202" w:firstLine="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1.4.3申请人应承担其资格审查申请文件编制与递交所涉及的一切费用，在任何情况下招标人对上述费用均不负任何责任。资格审查申请文件必须按要求提供有关证明资料和要求内容，并装订成册，编制页码，所有资料封面须加盖公章及法人代表或授权人的签章。</w:t>
      </w:r>
    </w:p>
    <w:p>
      <w:pPr>
        <w:widowControl/>
        <w:snapToGrid w:val="0"/>
        <w:spacing w:line="360" w:lineRule="auto"/>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1.5资格审查申请文件的递交和接受</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1.5.1申请人应按照招标公告载明的报名时间和地点递交资格审查申请文件，在该时间期限和同一地点，可对已提交的资格审查申请文件进行补充。</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1.5.2申请人应自备密封袋和《申请人报名提交资料一览表》一式两份。《申请人报名提交资料一览表》要求原件备查的资料，其原件应在报名时携带至报名地点由招标人审核，且在招标活动结束前，应招标监督机构或招标人要求，其原件应当能够在五日内再次提交审核。</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1.5.3申请人因特殊原因无法提供资格审查资料原件的，应书面说明原因并提供证明材料，由资格审查委员会依法认定申请人提交的证明材料是否具有原件的证明效力。如出现该情况，招标人应在《申请人报名提交资料一览表》中的“审核情况”栏填写“附有说明”。</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1.5.4招标人在报名窗口按照《申请人报名提交资料一览表》中资料目录对申请人提交的资料及其原件进行签收或核对。</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1.5.5《申请人报名提交资料一览表》由招标人和申请人双方共同签署，该表所记录的内容如需修改，须经双方共同签署确认。资料签收或核对结果须用中文文字表述，不得用简单符号表述（如“√”或“×”）。《申请人报名提交资料一览表》一份作为报名资料首页，连同其他资格审查资料在申请人代表监督下当场进行密封，另一份交由申请人。</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1.5.6招标人将接收申请人按时递交的资格审查申请资料，不得在报名窗口进行任何形式的实质性资格审查工作，不得以申请人提供的资格审查申请资料未提供原件核对、资料不完整等理由拒绝其报名。</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1.5.7逾期送达的资格审查申请文件将被拒绝。</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1.5.8招标人接收申请人递交的资格审查申请资料，并不意味着其资格审查合格。资格审查应由招标人组建的资格审查委员会负责。</w:t>
      </w:r>
    </w:p>
    <w:p>
      <w:pPr>
        <w:widowControl/>
        <w:snapToGrid w:val="0"/>
        <w:spacing w:line="360" w:lineRule="auto"/>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1.6资格审查结果的通知、确认和公示</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1.6.1招标人将以书面形式或传真，把资格审查结果通知各申请人。申请人收到通知后应在24小时内，以书面形式或传真，向招标人确认已收到资格审查结果通知。</w:t>
      </w:r>
    </w:p>
    <w:p>
      <w:pPr>
        <w:widowControl/>
        <w:snapToGrid w:val="0"/>
        <w:spacing w:line="360" w:lineRule="auto"/>
        <w:ind w:left="424" w:leftChars="202"/>
        <w:rPr>
          <w:rFonts w:ascii="仿宋_GB2312" w:hAnsi="宋体" w:eastAsia="仿宋_GB2312" w:cs="仿宋_GB2312"/>
          <w:kern w:val="0"/>
          <w:sz w:val="24"/>
          <w:highlight w:val="none"/>
          <w:shd w:val="clear" w:color="auto" w:fill="FFFFFF"/>
          <w:lang w:val="zh-CN"/>
        </w:rPr>
      </w:pPr>
      <w:r>
        <w:rPr>
          <w:rFonts w:hint="eastAsia" w:ascii="仿宋_GB2312" w:hAnsi="宋体" w:eastAsia="仿宋_GB2312" w:cs="仿宋_GB2312"/>
          <w:kern w:val="0"/>
          <w:sz w:val="24"/>
          <w:highlight w:val="none"/>
          <w:shd w:val="clear" w:color="auto" w:fill="FFFFFF"/>
          <w:lang w:val="en-US" w:eastAsia="zh-CN"/>
        </w:rPr>
        <w:t>1.6.2</w:t>
      </w:r>
      <w:r>
        <w:rPr>
          <w:rFonts w:ascii="仿宋_GB2312" w:hAnsi="宋体" w:eastAsia="仿宋_GB2312" w:cs="仿宋_GB2312"/>
          <w:kern w:val="0"/>
          <w:sz w:val="24"/>
          <w:highlight w:val="none"/>
          <w:shd w:val="clear" w:color="auto" w:fill="FFFFFF"/>
          <w:lang w:val="zh-CN"/>
        </w:rPr>
        <w:t>资格审查结果将在</w:t>
      </w:r>
      <w:r>
        <w:rPr>
          <w:rFonts w:hint="eastAsia" w:ascii="仿宋_GB2312" w:hAnsi="宋体" w:eastAsia="仿宋_GB2312" w:cs="宋体"/>
          <w:kern w:val="0"/>
          <w:sz w:val="24"/>
          <w:highlight w:val="none"/>
          <w:shd w:val="clear" w:color="auto" w:fill="FFFFFF"/>
        </w:rPr>
        <w:t>广东</w:t>
      </w:r>
      <w:r>
        <w:rPr>
          <w:rFonts w:hint="eastAsia" w:ascii="仿宋_GB2312" w:hAnsi="宋体" w:eastAsia="仿宋_GB2312" w:cs="宋体"/>
          <w:kern w:val="0"/>
          <w:sz w:val="24"/>
          <w:highlight w:val="none"/>
          <w:shd w:val="clear" w:color="auto" w:fill="FFFFFF"/>
          <w:lang w:eastAsia="zh-CN"/>
        </w:rPr>
        <w:t>科信</w:t>
      </w:r>
      <w:r>
        <w:rPr>
          <w:rFonts w:hint="eastAsia" w:ascii="仿宋_GB2312" w:hAnsi="宋体" w:eastAsia="仿宋_GB2312" w:cs="宋体"/>
          <w:kern w:val="0"/>
          <w:sz w:val="24"/>
          <w:highlight w:val="none"/>
          <w:shd w:val="clear" w:color="auto" w:fill="FFFFFF"/>
        </w:rPr>
        <w:t>工程管理有限公司网站</w:t>
      </w:r>
      <w:r>
        <w:rPr>
          <w:rFonts w:ascii="仿宋_GB2312" w:hAnsi="宋体" w:eastAsia="仿宋_GB2312" w:cs="宋体"/>
          <w:kern w:val="0"/>
          <w:sz w:val="24"/>
          <w:highlight w:val="none"/>
          <w:shd w:val="clear" w:color="auto" w:fill="FFFFFF"/>
        </w:rPr>
        <w:t>（</w:t>
      </w:r>
      <w:r>
        <w:rPr>
          <w:rFonts w:hint="eastAsia" w:ascii="仿宋_GB2312" w:hAnsi="宋体" w:eastAsia="仿宋_GB2312" w:cs="宋体"/>
          <w:kern w:val="0"/>
          <w:sz w:val="24"/>
          <w:highlight w:val="none"/>
          <w:shd w:val="clear" w:color="auto" w:fill="FFFFFF"/>
          <w:lang w:val="en-US" w:eastAsia="zh-CN"/>
        </w:rPr>
        <w:fldChar w:fldCharType="begin"/>
      </w:r>
      <w:r>
        <w:rPr>
          <w:rFonts w:hint="eastAsia" w:ascii="仿宋_GB2312" w:hAnsi="宋体" w:eastAsia="仿宋_GB2312" w:cs="宋体"/>
          <w:kern w:val="0"/>
          <w:sz w:val="24"/>
          <w:highlight w:val="none"/>
          <w:shd w:val="clear" w:color="auto" w:fill="FFFFFF"/>
          <w:lang w:val="en-US" w:eastAsia="zh-CN"/>
        </w:rPr>
        <w:instrText xml:space="preserve"> HYPERLINK "http://www.gdzbtb.gov.cn/" </w:instrText>
      </w:r>
      <w:r>
        <w:rPr>
          <w:rFonts w:hint="eastAsia" w:ascii="仿宋_GB2312" w:hAnsi="宋体" w:eastAsia="仿宋_GB2312" w:cs="宋体"/>
          <w:kern w:val="0"/>
          <w:sz w:val="24"/>
          <w:highlight w:val="none"/>
          <w:shd w:val="clear" w:color="auto" w:fill="FFFFFF"/>
          <w:lang w:val="en-US" w:eastAsia="zh-CN"/>
        </w:rPr>
        <w:fldChar w:fldCharType="separate"/>
      </w:r>
      <w:r>
        <w:rPr>
          <w:rFonts w:hint="eastAsia" w:ascii="仿宋_GB2312" w:hAnsi="宋体" w:eastAsia="仿宋_GB2312" w:cs="宋体"/>
          <w:kern w:val="0"/>
          <w:sz w:val="24"/>
          <w:highlight w:val="none"/>
          <w:shd w:val="clear" w:color="auto" w:fill="FFFFFF"/>
          <w:lang w:val="en-US" w:eastAsia="zh-CN"/>
        </w:rPr>
        <w:t>www.g</w:t>
      </w:r>
      <w:r>
        <w:rPr>
          <w:rFonts w:hint="eastAsia" w:ascii="仿宋_GB2312" w:hAnsi="宋体" w:eastAsia="仿宋_GB2312" w:cs="宋体"/>
          <w:kern w:val="0"/>
          <w:sz w:val="24"/>
          <w:highlight w:val="none"/>
          <w:shd w:val="clear" w:color="auto" w:fill="FFFFFF"/>
          <w:lang w:val="en-US" w:eastAsia="zh-CN"/>
        </w:rPr>
        <w:fldChar w:fldCharType="end"/>
      </w:r>
      <w:r>
        <w:rPr>
          <w:rFonts w:hint="eastAsia" w:ascii="仿宋_GB2312" w:hAnsi="宋体" w:eastAsia="仿宋_GB2312" w:cs="宋体"/>
          <w:kern w:val="0"/>
          <w:sz w:val="24"/>
          <w:highlight w:val="none"/>
          <w:shd w:val="clear" w:color="auto" w:fill="FFFFFF"/>
          <w:lang w:val="en-US" w:eastAsia="zh-CN"/>
        </w:rPr>
        <w:t>d-kexin.com</w:t>
      </w:r>
      <w:r>
        <w:rPr>
          <w:rFonts w:ascii="仿宋_GB2312" w:hAnsi="宋体" w:eastAsia="仿宋_GB2312" w:cs="宋体"/>
          <w:kern w:val="0"/>
          <w:sz w:val="24"/>
          <w:highlight w:val="none"/>
          <w:shd w:val="clear" w:color="auto" w:fill="FFFFFF"/>
        </w:rPr>
        <w:t>）；中国采购与招标网(www.chinabidding.com.cn)</w:t>
      </w:r>
      <w:r>
        <w:rPr>
          <w:rFonts w:hint="eastAsia" w:ascii="仿宋_GB2312" w:hAnsi="宋体" w:eastAsia="仿宋_GB2312" w:cs="宋体"/>
          <w:kern w:val="0"/>
          <w:sz w:val="24"/>
          <w:highlight w:val="none"/>
          <w:shd w:val="clear" w:color="auto" w:fill="FFFFFF"/>
          <w:lang w:eastAsia="zh-CN"/>
        </w:rPr>
        <w:t>公示，</w:t>
      </w:r>
      <w:r>
        <w:rPr>
          <w:highlight w:val="none"/>
        </w:rPr>
        <w:fldChar w:fldCharType="begin"/>
      </w:r>
      <w:r>
        <w:rPr>
          <w:highlight w:val="none"/>
        </w:rPr>
        <w:instrText xml:space="preserve"> HYPERLINK "http://www.cebpubservice.com/）上公示。公示期间及公示结束五日内，申请人可以就资格审查报名和资格审查中任何不公正行为向招标公告载明的异议处理部门提出异议。" </w:instrText>
      </w:r>
      <w:r>
        <w:rPr>
          <w:highlight w:val="none"/>
        </w:rPr>
        <w:fldChar w:fldCharType="separate"/>
      </w:r>
      <w:r>
        <w:rPr>
          <w:rStyle w:val="10"/>
          <w:rFonts w:ascii="仿宋_GB2312" w:hAnsi="宋体" w:eastAsia="仿宋_GB2312" w:cs="仿宋_GB2312"/>
          <w:color w:val="auto"/>
          <w:kern w:val="0"/>
          <w:sz w:val="24"/>
          <w:highlight w:val="none"/>
          <w:shd w:val="clear" w:color="auto" w:fill="FFFFFF"/>
          <w:lang w:val="zh-CN"/>
        </w:rPr>
        <w:t>公示期间及公示结束五日内，申请人可以就资格审查报名和资格审查中任何不公正行为向</w:t>
      </w:r>
      <w:r>
        <w:rPr>
          <w:rStyle w:val="10"/>
          <w:rFonts w:hint="eastAsia" w:ascii="仿宋_GB2312" w:hAnsi="宋体" w:eastAsia="仿宋_GB2312" w:cs="仿宋_GB2312"/>
          <w:color w:val="auto"/>
          <w:kern w:val="0"/>
          <w:sz w:val="24"/>
          <w:highlight w:val="none"/>
          <w:shd w:val="clear" w:color="auto" w:fill="FFFFFF"/>
          <w:lang w:val="zh-CN"/>
        </w:rPr>
        <w:t>招标</w:t>
      </w:r>
      <w:r>
        <w:rPr>
          <w:rStyle w:val="10"/>
          <w:rFonts w:ascii="仿宋_GB2312" w:hAnsi="宋体" w:eastAsia="仿宋_GB2312" w:cs="仿宋_GB2312"/>
          <w:color w:val="auto"/>
          <w:kern w:val="0"/>
          <w:sz w:val="24"/>
          <w:highlight w:val="none"/>
          <w:shd w:val="clear" w:color="auto" w:fill="FFFFFF"/>
          <w:lang w:val="zh-CN"/>
        </w:rPr>
        <w:t>公告载明的</w:t>
      </w:r>
      <w:r>
        <w:rPr>
          <w:rStyle w:val="10"/>
          <w:rFonts w:hint="eastAsia" w:ascii="仿宋_GB2312" w:hAnsi="宋体" w:eastAsia="仿宋_GB2312" w:cs="仿宋_GB2312"/>
          <w:color w:val="auto"/>
          <w:kern w:val="0"/>
          <w:sz w:val="24"/>
          <w:highlight w:val="none"/>
          <w:shd w:val="clear" w:color="auto" w:fill="FFFFFF"/>
          <w:lang w:val="zh-CN"/>
        </w:rPr>
        <w:t>异议处理部门提出异议</w:t>
      </w:r>
      <w:r>
        <w:rPr>
          <w:rStyle w:val="10"/>
          <w:rFonts w:ascii="仿宋_GB2312" w:hAnsi="宋体" w:eastAsia="仿宋_GB2312" w:cs="仿宋_GB2312"/>
          <w:color w:val="auto"/>
          <w:kern w:val="0"/>
          <w:sz w:val="24"/>
          <w:highlight w:val="none"/>
          <w:shd w:val="clear" w:color="auto" w:fill="FFFFFF"/>
          <w:lang w:val="zh-CN"/>
        </w:rPr>
        <w:t>。</w:t>
      </w:r>
      <w:r>
        <w:rPr>
          <w:rStyle w:val="10"/>
          <w:rFonts w:ascii="仿宋_GB2312" w:hAnsi="宋体" w:eastAsia="仿宋_GB2312" w:cs="仿宋_GB2312"/>
          <w:color w:val="auto"/>
          <w:kern w:val="0"/>
          <w:sz w:val="24"/>
          <w:highlight w:val="none"/>
          <w:shd w:val="clear" w:color="auto" w:fill="FFFFFF"/>
          <w:lang w:val="zh-CN"/>
        </w:rPr>
        <w:fldChar w:fldCharType="end"/>
      </w:r>
    </w:p>
    <w:p>
      <w:pPr>
        <w:widowControl/>
        <w:snapToGrid w:val="0"/>
        <w:spacing w:line="360" w:lineRule="auto"/>
        <w:rPr>
          <w:rFonts w:ascii="仿宋_GB2312" w:hAnsi="宋体" w:eastAsia="仿宋_GB2312" w:cs="仿宋_GB2312"/>
          <w:kern w:val="0"/>
          <w:sz w:val="24"/>
          <w:highlight w:val="none"/>
          <w:shd w:val="clear" w:color="auto" w:fill="FFFFFF"/>
        </w:rPr>
      </w:pPr>
      <w:r>
        <w:rPr>
          <w:rFonts w:hint="eastAsia" w:ascii="仿宋_GB2312" w:hAnsi="宋体" w:eastAsia="仿宋_GB2312" w:cs="仿宋_GB2312"/>
          <w:kern w:val="0"/>
          <w:sz w:val="24"/>
          <w:highlight w:val="none"/>
          <w:shd w:val="clear" w:color="auto" w:fill="FFFFFF"/>
        </w:rPr>
        <w:t>1.7 投标费用：</w:t>
      </w:r>
    </w:p>
    <w:p>
      <w:pPr>
        <w:widowControl/>
        <w:snapToGrid w:val="0"/>
        <w:spacing w:line="360" w:lineRule="auto"/>
        <w:ind w:firstLine="420"/>
        <w:rPr>
          <w:rFonts w:hint="eastAsia" w:ascii="仿宋_GB2312" w:hAnsi="宋体" w:eastAsia="仿宋_GB2312" w:cs="仿宋_GB2312"/>
          <w:kern w:val="0"/>
          <w:sz w:val="24"/>
          <w:highlight w:val="none"/>
          <w:shd w:val="clear" w:color="auto" w:fill="FFFFFF"/>
        </w:rPr>
      </w:pPr>
      <w:r>
        <w:rPr>
          <w:rFonts w:hint="eastAsia" w:ascii="仿宋_GB2312" w:hAnsi="宋体" w:eastAsia="仿宋_GB2312" w:cs="仿宋_GB2312"/>
          <w:kern w:val="0"/>
          <w:sz w:val="24"/>
          <w:highlight w:val="none"/>
          <w:shd w:val="clear" w:color="auto" w:fill="FFFFFF"/>
        </w:rPr>
        <w:t>1.7.1 招标代理费</w:t>
      </w:r>
      <w:r>
        <w:rPr>
          <w:rFonts w:hint="eastAsia" w:ascii="仿宋_GB2312" w:hAnsi="宋体" w:eastAsia="仿宋_GB2312" w:cs="仿宋_GB2312"/>
          <w:kern w:val="0"/>
          <w:sz w:val="24"/>
          <w:highlight w:val="none"/>
          <w:shd w:val="clear" w:color="auto" w:fill="FFFFFF"/>
          <w:lang w:eastAsia="zh-CN"/>
        </w:rPr>
        <w:t>向</w:t>
      </w:r>
      <w:r>
        <w:rPr>
          <w:rFonts w:hint="eastAsia" w:ascii="仿宋_GB2312" w:hAnsi="宋体" w:eastAsia="仿宋_GB2312" w:cs="仿宋_GB2312"/>
          <w:kern w:val="0"/>
          <w:sz w:val="24"/>
          <w:highlight w:val="none"/>
          <w:shd w:val="clear" w:color="auto" w:fill="FFFFFF"/>
        </w:rPr>
        <w:t>最终入库单位收取</w:t>
      </w:r>
      <w:r>
        <w:rPr>
          <w:rFonts w:hint="eastAsia" w:ascii="仿宋_GB2312" w:hAnsi="宋体" w:eastAsia="仿宋_GB2312" w:cs="仿宋_GB2312"/>
          <w:kern w:val="0"/>
          <w:sz w:val="24"/>
          <w:highlight w:val="none"/>
          <w:shd w:val="clear" w:color="auto" w:fill="FFFFFF"/>
          <w:lang w:eastAsia="zh-CN"/>
        </w:rPr>
        <w:t>，每家入库单位收取</w:t>
      </w:r>
      <w:r>
        <w:rPr>
          <w:rFonts w:hint="eastAsia" w:ascii="仿宋_GB2312" w:hAnsi="宋体" w:eastAsia="仿宋_GB2312" w:cs="仿宋_GB2312"/>
          <w:kern w:val="0"/>
          <w:sz w:val="24"/>
          <w:highlight w:val="none"/>
          <w:shd w:val="clear" w:color="auto" w:fill="FFFFFF"/>
        </w:rPr>
        <w:t>人民币</w:t>
      </w:r>
      <w:r>
        <w:rPr>
          <w:rFonts w:hint="eastAsia" w:ascii="仿宋_GB2312" w:hAnsi="宋体" w:eastAsia="仿宋_GB2312" w:cs="仿宋_GB2312"/>
          <w:kern w:val="0"/>
          <w:sz w:val="24"/>
          <w:highlight w:val="none"/>
          <w:shd w:val="clear" w:color="auto" w:fill="FFFFFF"/>
          <w:lang w:eastAsia="zh-CN"/>
        </w:rPr>
        <w:t>叁仟</w:t>
      </w:r>
      <w:r>
        <w:rPr>
          <w:rFonts w:hint="eastAsia" w:ascii="仿宋_GB2312" w:hAnsi="宋体" w:eastAsia="仿宋_GB2312" w:cs="仿宋_GB2312"/>
          <w:kern w:val="0"/>
          <w:sz w:val="24"/>
          <w:highlight w:val="none"/>
          <w:shd w:val="clear" w:color="auto" w:fill="FFFFFF"/>
        </w:rPr>
        <w:t>元（</w:t>
      </w:r>
      <w:r>
        <w:rPr>
          <w:rFonts w:hint="eastAsia" w:ascii="仿宋_GB2312" w:hAnsi="宋体" w:eastAsia="仿宋_GB2312" w:cs="仿宋_GB2312"/>
          <w:kern w:val="0"/>
          <w:sz w:val="24"/>
          <w:highlight w:val="none"/>
          <w:shd w:val="clear" w:color="auto" w:fill="FFFFFF"/>
          <w:lang w:val="en-US" w:eastAsia="zh-CN"/>
        </w:rPr>
        <w:t>30</w:t>
      </w:r>
      <w:r>
        <w:rPr>
          <w:rFonts w:hint="eastAsia" w:ascii="仿宋_GB2312" w:hAnsi="宋体" w:eastAsia="仿宋_GB2312" w:cs="仿宋_GB2312"/>
          <w:kern w:val="0"/>
          <w:sz w:val="24"/>
          <w:highlight w:val="none"/>
          <w:shd w:val="clear" w:color="auto" w:fill="FFFFFF"/>
        </w:rPr>
        <w:t>00.00）整，在领取《入库通知书》时须向</w:t>
      </w:r>
      <w:r>
        <w:rPr>
          <w:rFonts w:hint="eastAsia" w:ascii="仿宋_GB2312" w:hAnsi="宋体" w:eastAsia="仿宋_GB2312" w:cs="仿宋_GB2312"/>
          <w:kern w:val="0"/>
          <w:sz w:val="24"/>
          <w:highlight w:val="none"/>
          <w:shd w:val="clear" w:color="auto" w:fill="FFFFFF"/>
          <w:lang w:eastAsia="zh-CN"/>
        </w:rPr>
        <w:t>招标</w:t>
      </w:r>
      <w:r>
        <w:rPr>
          <w:rFonts w:hint="eastAsia" w:ascii="仿宋_GB2312" w:hAnsi="宋体" w:eastAsia="仿宋_GB2312" w:cs="仿宋_GB2312"/>
          <w:kern w:val="0"/>
          <w:sz w:val="24"/>
          <w:highlight w:val="none"/>
          <w:shd w:val="clear" w:color="auto" w:fill="FFFFFF"/>
        </w:rPr>
        <w:t>代理机构交纳以上费用。</w:t>
      </w:r>
    </w:p>
    <w:p>
      <w:pPr>
        <w:widowControl/>
        <w:snapToGrid w:val="0"/>
        <w:spacing w:line="360" w:lineRule="auto"/>
        <w:ind w:firstLine="420"/>
        <w:rPr>
          <w:rFonts w:ascii="仿宋_GB2312" w:hAnsi="宋体" w:eastAsia="仿宋_GB2312" w:cs="仿宋_GB2312"/>
          <w:kern w:val="0"/>
          <w:sz w:val="24"/>
          <w:highlight w:val="none"/>
          <w:shd w:val="clear" w:color="auto" w:fill="FFFFFF"/>
        </w:rPr>
      </w:pPr>
      <w:r>
        <w:rPr>
          <w:rFonts w:hint="eastAsia" w:ascii="仿宋_GB2312" w:hAnsi="宋体" w:eastAsia="仿宋_GB2312" w:cs="仿宋_GB2312"/>
          <w:kern w:val="0"/>
          <w:sz w:val="24"/>
          <w:highlight w:val="none"/>
          <w:shd w:val="clear" w:color="auto" w:fill="FFFFFF"/>
        </w:rPr>
        <w:t>1.7.2 支付方式：一次性以支票、汇票、电汇的方式支付（注：采用汇款方式付款的，汇款单位必须以投标人单位的对公账户支付。）</w:t>
      </w:r>
    </w:p>
    <w:p>
      <w:pPr>
        <w:widowControl/>
        <w:snapToGrid w:val="0"/>
        <w:spacing w:line="360" w:lineRule="auto"/>
        <w:ind w:firstLine="420"/>
        <w:rPr>
          <w:rFonts w:ascii="仿宋_GB2312" w:hAnsi="宋体" w:eastAsia="仿宋_GB2312" w:cs="仿宋_GB2312"/>
          <w:kern w:val="0"/>
          <w:sz w:val="24"/>
          <w:highlight w:val="none"/>
          <w:shd w:val="clear" w:color="auto" w:fill="FFFFFF"/>
        </w:rPr>
      </w:pPr>
      <w:r>
        <w:rPr>
          <w:rFonts w:hint="eastAsia" w:ascii="仿宋_GB2312" w:hAnsi="宋体" w:eastAsia="仿宋_GB2312" w:cs="仿宋_GB2312"/>
          <w:kern w:val="0"/>
          <w:sz w:val="24"/>
          <w:highlight w:val="none"/>
          <w:shd w:val="clear" w:color="auto" w:fill="FFFFFF"/>
        </w:rPr>
        <w:t>1.7.3 收款人名称：广东</w:t>
      </w:r>
      <w:r>
        <w:rPr>
          <w:rFonts w:hint="eastAsia" w:ascii="仿宋_GB2312" w:hAnsi="宋体" w:eastAsia="仿宋_GB2312" w:cs="仿宋_GB2312"/>
          <w:kern w:val="0"/>
          <w:sz w:val="24"/>
          <w:highlight w:val="none"/>
          <w:shd w:val="clear" w:color="auto" w:fill="FFFFFF"/>
          <w:lang w:eastAsia="zh-CN"/>
        </w:rPr>
        <w:t>科信</w:t>
      </w:r>
      <w:r>
        <w:rPr>
          <w:rFonts w:hint="eastAsia" w:ascii="仿宋_GB2312" w:hAnsi="宋体" w:eastAsia="仿宋_GB2312" w:cs="仿宋_GB2312"/>
          <w:kern w:val="0"/>
          <w:sz w:val="24"/>
          <w:highlight w:val="none"/>
          <w:shd w:val="clear" w:color="auto" w:fill="FFFFFF"/>
        </w:rPr>
        <w:t>工程管理有限公司</w:t>
      </w:r>
    </w:p>
    <w:p>
      <w:pPr>
        <w:widowControl/>
        <w:snapToGrid w:val="0"/>
        <w:spacing w:line="360" w:lineRule="auto"/>
        <w:ind w:firstLine="1200" w:firstLineChars="500"/>
        <w:rPr>
          <w:rFonts w:ascii="仿宋_GB2312" w:hAnsi="宋体" w:eastAsia="仿宋_GB2312" w:cs="仿宋_GB2312"/>
          <w:kern w:val="0"/>
          <w:sz w:val="24"/>
          <w:highlight w:val="none"/>
          <w:shd w:val="clear" w:color="auto" w:fill="FFFFFF"/>
        </w:rPr>
      </w:pPr>
      <w:r>
        <w:rPr>
          <w:rFonts w:hint="eastAsia" w:ascii="仿宋_GB2312" w:hAnsi="宋体" w:eastAsia="仿宋_GB2312" w:cs="仿宋_GB2312"/>
          <w:kern w:val="0"/>
          <w:sz w:val="24"/>
          <w:highlight w:val="none"/>
          <w:shd w:val="clear" w:color="auto" w:fill="FFFFFF"/>
        </w:rPr>
        <w:t>开户银行：广州银行福利支行</w:t>
      </w:r>
    </w:p>
    <w:p>
      <w:pPr>
        <w:widowControl/>
        <w:snapToGrid w:val="0"/>
        <w:spacing w:line="360" w:lineRule="auto"/>
        <w:ind w:firstLine="1200" w:firstLineChars="500"/>
        <w:rPr>
          <w:rFonts w:hint="default" w:ascii="仿宋_GB2312" w:hAnsi="宋体" w:eastAsia="仿宋_GB2312" w:cs="仿宋_GB2312"/>
          <w:kern w:val="0"/>
          <w:sz w:val="24"/>
          <w:highlight w:val="none"/>
          <w:shd w:val="clear" w:color="auto" w:fill="FFFFFF"/>
          <w:lang w:val="en-US" w:eastAsia="zh-CN"/>
        </w:rPr>
      </w:pPr>
      <w:r>
        <w:rPr>
          <w:rFonts w:hint="eastAsia" w:ascii="仿宋_GB2312" w:hAnsi="宋体" w:eastAsia="仿宋_GB2312" w:cs="仿宋_GB2312"/>
          <w:kern w:val="0"/>
          <w:sz w:val="24"/>
          <w:highlight w:val="none"/>
          <w:shd w:val="clear" w:color="auto" w:fill="FFFFFF"/>
        </w:rPr>
        <w:t>帐    号：</w:t>
      </w:r>
      <w:r>
        <w:rPr>
          <w:rFonts w:hint="eastAsia" w:ascii="仿宋_GB2312" w:hAnsi="宋体" w:eastAsia="仿宋_GB2312" w:cs="仿宋_GB2312"/>
          <w:kern w:val="0"/>
          <w:sz w:val="24"/>
          <w:highlight w:val="none"/>
          <w:shd w:val="clear" w:color="auto" w:fill="FFFFFF"/>
          <w:lang w:val="en-US" w:eastAsia="zh-CN"/>
        </w:rPr>
        <w:t>800205447408011</w:t>
      </w:r>
    </w:p>
    <w:p>
      <w:pPr>
        <w:widowControl/>
        <w:snapToGrid w:val="0"/>
        <w:spacing w:line="360" w:lineRule="auto"/>
        <w:ind w:firstLine="420"/>
        <w:rPr>
          <w:rFonts w:ascii="仿宋_GB2312" w:hAnsi="宋体" w:eastAsia="仿宋_GB2312" w:cs="仿宋_GB2312"/>
          <w:kern w:val="0"/>
          <w:sz w:val="24"/>
          <w:shd w:val="clear" w:color="auto" w:fill="FFFFFF"/>
          <w:lang w:val="zh-CN"/>
        </w:rPr>
      </w:pPr>
      <w:r>
        <w:rPr>
          <w:rFonts w:hint="eastAsia" w:ascii="仿宋_GB2312" w:hAnsi="宋体" w:eastAsia="仿宋_GB2312" w:cs="仿宋_GB2312"/>
          <w:kern w:val="0"/>
          <w:sz w:val="24"/>
          <w:shd w:val="clear" w:color="auto" w:fill="FFFFFF"/>
        </w:rPr>
        <w:t>1.7.4 入库单位支付的中标服务费</w:t>
      </w:r>
      <w:r>
        <w:rPr>
          <w:rFonts w:hint="eastAsia" w:ascii="仿宋_GB2312" w:hAnsi="宋体" w:eastAsia="仿宋_GB2312" w:cs="仿宋_GB2312"/>
          <w:kern w:val="0"/>
          <w:sz w:val="24"/>
          <w:shd w:val="clear" w:color="auto" w:fill="FFFFFF"/>
          <w:lang w:eastAsia="zh-CN"/>
        </w:rPr>
        <w:t>如需发票</w:t>
      </w:r>
      <w:r>
        <w:rPr>
          <w:rFonts w:hint="eastAsia" w:ascii="仿宋_GB2312" w:hAnsi="宋体" w:eastAsia="仿宋_GB2312" w:cs="仿宋_GB2312"/>
          <w:kern w:val="0"/>
          <w:sz w:val="24"/>
          <w:shd w:val="clear" w:color="auto" w:fill="FFFFFF"/>
        </w:rPr>
        <w:t>由招标代理单位出具发票，中标供应商在领取入库通知书</w:t>
      </w:r>
      <w:r>
        <w:rPr>
          <w:rFonts w:hint="eastAsia" w:ascii="仿宋_GB2312" w:hAnsi="宋体" w:eastAsia="仿宋_GB2312" w:cs="仿宋_GB2312"/>
          <w:kern w:val="0"/>
          <w:sz w:val="24"/>
          <w:shd w:val="clear" w:color="auto" w:fill="FFFFFF"/>
          <w:lang w:eastAsia="zh-CN"/>
        </w:rPr>
        <w:t>后</w:t>
      </w:r>
      <w:r>
        <w:rPr>
          <w:rFonts w:hint="eastAsia" w:ascii="仿宋_GB2312" w:hAnsi="宋体" w:eastAsia="仿宋_GB2312" w:cs="仿宋_GB2312"/>
          <w:kern w:val="0"/>
          <w:sz w:val="24"/>
          <w:shd w:val="clear" w:color="auto" w:fill="FFFFFF"/>
          <w:lang w:val="en-US" w:eastAsia="zh-CN"/>
        </w:rPr>
        <w:t>5天内出具</w:t>
      </w:r>
      <w:r>
        <w:rPr>
          <w:rFonts w:hint="eastAsia" w:ascii="仿宋_GB2312" w:hAnsi="宋体" w:eastAsia="仿宋_GB2312" w:cs="仿宋_GB2312"/>
          <w:kern w:val="0"/>
          <w:sz w:val="24"/>
          <w:shd w:val="clear" w:color="auto" w:fill="FFFFFF"/>
        </w:rPr>
        <w:t>发票。</w:t>
      </w:r>
    </w:p>
    <w:p>
      <w:pPr>
        <w:widowControl/>
        <w:snapToGrid w:val="0"/>
        <w:spacing w:line="360" w:lineRule="auto"/>
        <w:jc w:val="left"/>
        <w:rPr>
          <w:rFonts w:ascii="仿宋_GB2312" w:hAnsi="宋体" w:eastAsia="仿宋_GB2312" w:cs="仿宋_GB2312"/>
          <w:b/>
          <w:kern w:val="0"/>
          <w:sz w:val="24"/>
          <w:shd w:val="clear" w:color="auto" w:fill="FFFFFF"/>
          <w:lang w:val="zh-CN"/>
        </w:rPr>
      </w:pPr>
      <w:r>
        <w:rPr>
          <w:rFonts w:ascii="仿宋_GB2312" w:hAnsi="宋体" w:eastAsia="仿宋_GB2312" w:cs="仿宋_GB2312"/>
          <w:b/>
          <w:kern w:val="0"/>
          <w:sz w:val="24"/>
          <w:shd w:val="clear" w:color="auto" w:fill="FFFFFF"/>
          <w:lang w:val="zh-CN"/>
        </w:rPr>
        <w:t>2.资格审查办法</w:t>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2.1</w:t>
      </w:r>
      <w:r>
        <w:rPr>
          <w:rFonts w:ascii="仿宋_GB2312" w:hAnsi="宋体" w:eastAsia="仿宋_GB2312" w:cs="仿宋_GB2312"/>
          <w:kern w:val="0"/>
          <w:sz w:val="24"/>
          <w:shd w:val="clear" w:color="auto" w:fill="FFFFFF"/>
          <w:lang w:val="zh-CN"/>
        </w:rPr>
        <w:t>总则</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2.1.1资格审查坚持“公开、公正、公平、客观、准确”的评审原则，按照</w:t>
      </w:r>
      <w:r>
        <w:rPr>
          <w:rFonts w:hint="eastAsia" w:ascii="仿宋_GB2312" w:hAnsi="宋体" w:eastAsia="仿宋_GB2312" w:cs="仿宋_GB2312"/>
          <w:kern w:val="0"/>
          <w:sz w:val="24"/>
          <w:shd w:val="clear" w:color="auto" w:fill="FFFFFF"/>
          <w:lang w:val="zh-CN"/>
        </w:rPr>
        <w:t>招标公告</w:t>
      </w:r>
      <w:r>
        <w:rPr>
          <w:rFonts w:ascii="仿宋_GB2312" w:hAnsi="宋体" w:eastAsia="仿宋_GB2312" w:cs="仿宋_GB2312"/>
          <w:kern w:val="0"/>
          <w:sz w:val="24"/>
          <w:shd w:val="clear" w:color="auto" w:fill="FFFFFF"/>
          <w:lang w:val="zh-CN"/>
        </w:rPr>
        <w:t>和本资格审查文件规定的程序，选定具有良好的业绩和能力的申请人参加建库。</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2.1.2资格审查将按照申请人提交的资格审查申请资料认定申请人是否符合招标公告载明的申请人资格审查合格条件，未按照《申请人报名提交资料一览表》要求提交资料和原件的申请人，不符合资格审查合格条件的申请人,将不能通过资格审查。</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2.1.3资格审查委员会对申请人递交的资格审查申请资料的原件核对情况有疑问或资料复印件模糊无法辨认的，可以书面要求重新递交原件复核，申请人应按时提交原件，否则视为未提交原件。</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2.1.4在审查过程中，审查委员会可以书面形式，公开要求所有申请人对所提交的资格审查申请文件中不明确的内容进行必要的澄清或说明。申请人的澄清或说明应采用书面形式，并不得改变资格审查申请文件的实质性内容。申请人的澄清和说明内容属于资格审查申请文件的组成部分。整个澄清和说明的过程不得存在排斥潜在投标人的现象。</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2.1.5《申请人报名提交资料一览表》中没有要求提交的资料不作为资审不合格的依据。</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2.1.6经资格审查合格的申请人，按招标公告中的方式参与</w:t>
      </w:r>
      <w:r>
        <w:rPr>
          <w:rFonts w:hint="eastAsia" w:ascii="仿宋_GB2312" w:hAnsi="宋体" w:eastAsia="仿宋_GB2312" w:cs="仿宋_GB2312"/>
          <w:kern w:val="0"/>
          <w:sz w:val="24"/>
          <w:shd w:val="clear" w:color="auto" w:fill="FFFFFF"/>
          <w:lang w:val="zh-CN"/>
        </w:rPr>
        <w:t>广东一新长城建筑集团有限公司</w:t>
      </w:r>
      <w:r>
        <w:rPr>
          <w:rFonts w:ascii="仿宋_GB2312" w:hAnsi="宋体" w:eastAsia="仿宋_GB2312" w:cs="仿宋_GB2312"/>
          <w:kern w:val="0"/>
          <w:sz w:val="24"/>
          <w:shd w:val="clear" w:color="auto" w:fill="FFFFFF"/>
          <w:lang w:val="zh-CN"/>
        </w:rPr>
        <w:t>工程材料供应。</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2.1.7拒绝挂靠单位参与本次建库，一旦发现即取消其报名或入库资格，并上报有关建设主管部门处理，将挂靠情况及处理结果向社会公布。</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2.1.8申请人必须确保所提供的资料的真实性。如被查实提供虚假的证明材料，经建设行政主管部门、或招标监督管理机构、或招标人及其组织的资格审查委员会确认后，将取消该申请人在其本项目的申请资格，没收其投标保证金</w:t>
      </w:r>
      <w:r>
        <w:rPr>
          <w:rFonts w:hint="eastAsia" w:ascii="仿宋_GB2312" w:hAnsi="宋体" w:eastAsia="仿宋_GB2312" w:cs="仿宋_GB2312"/>
          <w:kern w:val="0"/>
          <w:sz w:val="24"/>
          <w:shd w:val="clear" w:color="auto" w:fill="FFFFFF"/>
          <w:lang w:val="zh-CN"/>
        </w:rPr>
        <w:t>（如有）</w:t>
      </w:r>
      <w:r>
        <w:rPr>
          <w:rFonts w:ascii="仿宋_GB2312" w:hAnsi="宋体" w:eastAsia="仿宋_GB2312" w:cs="仿宋_GB2312"/>
          <w:kern w:val="0"/>
          <w:sz w:val="24"/>
          <w:shd w:val="clear" w:color="auto" w:fill="FFFFFF"/>
          <w:lang w:val="zh-CN"/>
        </w:rPr>
        <w:t>，同时上报上级主管部门，建设行政主管部门或招标监督管理机构将对该申请人给予行政处罚并通报。</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2.1.9资格审查时，申请人企业名称已经工商变更的，但企业及个人的资质证书未完成企业名称变更，仍然承认其有效；申请人未及时办理变更手续的，招标人应通报发证部门。营业执照、资质证书、安全生产许可证登记的信息不一致，应当允许申请人澄清，不得直接认定为无效。</w:t>
      </w:r>
    </w:p>
    <w:p>
      <w:pPr>
        <w:widowControl/>
        <w:snapToGrid w:val="0"/>
        <w:spacing w:line="360" w:lineRule="auto"/>
        <w:jc w:val="left"/>
        <w:outlineLvl w:val="0"/>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2.2</w:t>
      </w:r>
      <w:r>
        <w:rPr>
          <w:rFonts w:ascii="仿宋_GB2312" w:hAnsi="宋体" w:eastAsia="仿宋_GB2312" w:cs="仿宋_GB2312"/>
          <w:kern w:val="0"/>
          <w:sz w:val="24"/>
          <w:shd w:val="clear" w:color="auto" w:fill="FFFFFF"/>
          <w:lang w:val="zh-CN"/>
        </w:rPr>
        <w:t>评审工作机构</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2.2.1招标人依法组建资格审查委员会（5人）。</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2.2.2</w:t>
      </w:r>
      <w:r>
        <w:rPr>
          <w:rFonts w:ascii="仿宋_GB2312" w:hAnsi="宋体" w:eastAsia="仿宋_GB2312" w:cs="仿宋_GB2312"/>
          <w:kern w:val="0"/>
          <w:sz w:val="24"/>
          <w:highlight w:val="none"/>
          <w:shd w:val="clear" w:color="auto" w:fill="FFFFFF"/>
          <w:lang w:val="zh-CN"/>
        </w:rPr>
        <w:t>由招标人组成的招标工作领导小组审定资格审查报告和确定合格供应商名单。</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2.3资格审查委员会资格审查的程序和细则</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2.3.1检查并记录各申请人资格审查申请资料的密封情况。发现密封被破坏的，应立即停止评审，封存全部资格审查申请资料，并向工程管辖招标监督机构报告。全部资格审查申请资料密封情况均良好时，方可进入下一步评审。</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2.3.2检查《申请人报名提交资料一览表》的签署和涂改情况，不符合规定的，应立即停止评审，封存全部资格审查申请资料，并向工程管辖招标监督机构报告。全部《申请人报名提交资料一览表》的签署和涂改情况符合规定时，方可进入下一步评审。</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2.3.3检查《申请人报名提交资料一览表》的“审核情况”，认定申请人是否按照《申请人报名提交资料一览表》要求提交资料和原件。</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2.3.4资格审查委员会各成员独立审查各项资格审查申请资料，认定其是否证明了申请人符合</w:t>
      </w:r>
      <w:r>
        <w:rPr>
          <w:rFonts w:hint="eastAsia" w:ascii="仿宋_GB2312" w:hAnsi="宋体" w:eastAsia="仿宋_GB2312" w:cs="仿宋_GB2312"/>
          <w:kern w:val="0"/>
          <w:sz w:val="24"/>
          <w:shd w:val="clear" w:color="auto" w:fill="FFFFFF"/>
          <w:lang w:val="zh-CN"/>
        </w:rPr>
        <w:t>招标公告</w:t>
      </w:r>
      <w:r>
        <w:rPr>
          <w:rFonts w:ascii="仿宋_GB2312" w:hAnsi="宋体" w:eastAsia="仿宋_GB2312" w:cs="仿宋_GB2312"/>
          <w:kern w:val="0"/>
          <w:sz w:val="24"/>
          <w:shd w:val="clear" w:color="auto" w:fill="FFFFFF"/>
          <w:lang w:val="zh-CN"/>
        </w:rPr>
        <w:t>载明的相应申请人合格条件。</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2.3.5择优评分（如果通过资格审查的申请人大于</w:t>
      </w:r>
      <w:r>
        <w:rPr>
          <w:rFonts w:hint="eastAsia" w:ascii="仿宋_GB2312" w:hAnsi="宋体" w:eastAsia="仿宋_GB2312" w:cs="仿宋_GB2312"/>
          <w:kern w:val="0"/>
          <w:sz w:val="24"/>
          <w:shd w:val="clear" w:color="auto" w:fill="FFFFFF"/>
        </w:rPr>
        <w:t>15</w:t>
      </w:r>
      <w:r>
        <w:rPr>
          <w:rFonts w:ascii="仿宋_GB2312" w:hAnsi="宋体" w:eastAsia="仿宋_GB2312" w:cs="仿宋_GB2312"/>
          <w:kern w:val="0"/>
          <w:sz w:val="24"/>
          <w:shd w:val="clear" w:color="auto" w:fill="FFFFFF"/>
          <w:lang w:val="zh-CN"/>
        </w:rPr>
        <w:t>家）</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2.3.6汇总审查情况，确定通过资格审查的申请人名单。</w:t>
      </w:r>
    </w:p>
    <w:p>
      <w:pPr>
        <w:widowControl/>
        <w:snapToGrid w:val="0"/>
        <w:spacing w:line="360" w:lineRule="auto"/>
        <w:ind w:left="424" w:leftChars="202"/>
        <w:jc w:val="left"/>
        <w:rPr>
          <w:rFonts w:ascii="仿宋_GB2312" w:hAnsi="宋体" w:eastAsia="仿宋_GB2312" w:cs="仿宋_GB2312"/>
          <w:kern w:val="0"/>
          <w:sz w:val="24"/>
          <w:shd w:val="clear" w:color="auto" w:fill="FFFFFF"/>
          <w:lang w:val="zh-CN"/>
        </w:rPr>
      </w:pPr>
      <w:r>
        <w:rPr>
          <w:rFonts w:ascii="仿宋_GB2312" w:hAnsi="宋体" w:eastAsia="仿宋_GB2312" w:cs="仿宋_GB2312"/>
          <w:kern w:val="0"/>
          <w:sz w:val="24"/>
          <w:shd w:val="clear" w:color="auto" w:fill="FFFFFF"/>
          <w:lang w:val="zh-CN"/>
        </w:rPr>
        <w:t>2.3.7编写资格审查报告。</w:t>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3. 资格审查择优评分细则</w:t>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3.1评分采用百分制计分办法，申请人数量按总得分排序择优，如择优的末位单位分数相同，摇珠产生择优的末位单位。</w:t>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3.2评分按择优表规定的主要项目进行，具体分值标准详见附件</w:t>
      </w:r>
      <w:r>
        <w:rPr>
          <w:rFonts w:hint="eastAsia" w:ascii="仿宋_GB2312" w:hAnsi="宋体" w:eastAsia="仿宋_GB2312" w:cs="仿宋_GB2312"/>
          <w:kern w:val="0"/>
          <w:sz w:val="24"/>
          <w:shd w:val="clear" w:color="auto" w:fill="FFFFFF"/>
        </w:rPr>
        <w:t>一</w:t>
      </w:r>
      <w:r>
        <w:rPr>
          <w:rFonts w:ascii="仿宋_GB2312" w:hAnsi="宋体" w:eastAsia="仿宋_GB2312" w:cs="仿宋_GB2312"/>
          <w:kern w:val="0"/>
          <w:sz w:val="24"/>
          <w:shd w:val="clear" w:color="auto" w:fill="FFFFFF"/>
        </w:rPr>
        <w:t>。</w:t>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3.3评分要求</w:t>
      </w:r>
      <w:r>
        <w:rPr>
          <w:rFonts w:ascii="仿宋_GB2312" w:hAnsi="宋体" w:eastAsia="仿宋_GB2312" w:cs="仿宋_GB2312"/>
          <w:kern w:val="0"/>
          <w:sz w:val="24"/>
          <w:shd w:val="clear" w:color="auto" w:fill="FFFFFF"/>
        </w:rPr>
        <w:tab/>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评分采用</w:t>
      </w:r>
      <w:r>
        <w:rPr>
          <w:rFonts w:hint="eastAsia" w:ascii="仿宋_GB2312" w:hAnsi="宋体" w:eastAsia="仿宋_GB2312" w:cs="仿宋_GB2312"/>
          <w:kern w:val="0"/>
          <w:sz w:val="24"/>
          <w:shd w:val="clear" w:color="auto" w:fill="FFFFFF"/>
        </w:rPr>
        <w:t>综合评分</w:t>
      </w:r>
      <w:r>
        <w:rPr>
          <w:rFonts w:ascii="仿宋_GB2312" w:hAnsi="宋体" w:eastAsia="仿宋_GB2312" w:cs="仿宋_GB2312"/>
          <w:kern w:val="0"/>
          <w:sz w:val="24"/>
          <w:shd w:val="clear" w:color="auto" w:fill="FFFFFF"/>
        </w:rPr>
        <w:t>的方式，具体是：</w:t>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（1）每位评审人员应严格按照附件“择优项目得分表”</w:t>
      </w:r>
      <w:r>
        <w:rPr>
          <w:rFonts w:hint="eastAsia" w:ascii="仿宋_GB2312" w:hAnsi="宋体" w:eastAsia="仿宋_GB2312" w:cs="仿宋_GB2312"/>
          <w:kern w:val="0"/>
          <w:sz w:val="24"/>
          <w:shd w:val="clear" w:color="auto" w:fill="FFFFFF"/>
        </w:rPr>
        <w:t>进行打分，并分别汇总</w:t>
      </w:r>
      <w:r>
        <w:rPr>
          <w:rFonts w:ascii="仿宋_GB2312" w:hAnsi="宋体" w:eastAsia="仿宋_GB2312" w:cs="仿宋_GB2312"/>
          <w:kern w:val="0"/>
          <w:sz w:val="24"/>
          <w:shd w:val="clear" w:color="auto" w:fill="FFFFFF"/>
        </w:rPr>
        <w:t>。</w:t>
      </w:r>
    </w:p>
    <w:p>
      <w:pPr>
        <w:widowControl/>
        <w:snapToGrid w:val="0"/>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w:t>
      </w:r>
      <w:r>
        <w:rPr>
          <w:rFonts w:hint="eastAsia" w:ascii="仿宋_GB2312" w:hAnsi="宋体" w:eastAsia="仿宋_GB2312" w:cs="仿宋_GB2312"/>
          <w:kern w:val="0"/>
          <w:sz w:val="24"/>
          <w:shd w:val="clear" w:color="auto" w:fill="FFFFFF"/>
        </w:rPr>
        <w:t>2</w:t>
      </w:r>
      <w:r>
        <w:rPr>
          <w:rFonts w:ascii="仿宋_GB2312" w:hAnsi="宋体" w:eastAsia="仿宋_GB2312" w:cs="仿宋_GB2312"/>
          <w:kern w:val="0"/>
          <w:sz w:val="24"/>
          <w:shd w:val="clear" w:color="auto" w:fill="FFFFFF"/>
        </w:rPr>
        <w:t>）对每</w:t>
      </w:r>
      <w:r>
        <w:rPr>
          <w:rFonts w:hint="eastAsia" w:ascii="仿宋_GB2312" w:hAnsi="宋体" w:eastAsia="仿宋_GB2312" w:cs="仿宋_GB2312"/>
          <w:kern w:val="0"/>
          <w:sz w:val="24"/>
          <w:shd w:val="clear" w:color="auto" w:fill="FFFFFF"/>
        </w:rPr>
        <w:t>位评审人员的打分</w:t>
      </w:r>
      <w:r>
        <w:rPr>
          <w:rFonts w:ascii="仿宋_GB2312" w:hAnsi="宋体" w:eastAsia="仿宋_GB2312" w:cs="仿宋_GB2312"/>
          <w:kern w:val="0"/>
          <w:sz w:val="24"/>
          <w:shd w:val="clear" w:color="auto" w:fill="FFFFFF"/>
        </w:rPr>
        <w:t>计取算术平均分，分数出现小数点，保留小数点后两位，第三位小数四舍五入。</w:t>
      </w:r>
    </w:p>
    <w:p>
      <w:pPr>
        <w:widowControl/>
        <w:snapToGrid w:val="0"/>
        <w:spacing w:line="360" w:lineRule="auto"/>
        <w:jc w:val="left"/>
        <w:rPr>
          <w:rFonts w:ascii="仿宋_GB2312" w:hAnsi="宋体" w:eastAsia="仿宋_GB2312" w:cs="仿宋_GB2312"/>
          <w:sz w:val="24"/>
          <w:shd w:val="clear" w:color="auto" w:fill="FFFFFF"/>
        </w:rPr>
      </w:pPr>
    </w:p>
    <w:p>
      <w:pPr>
        <w:spacing w:line="360" w:lineRule="auto"/>
        <w:rPr>
          <w:rFonts w:ascii="仿宋_GB2312" w:hAnsi="Times New Roman" w:eastAsia="仿宋_GB2312" w:cs="Times New Roman"/>
          <w:sz w:val="24"/>
          <w:shd w:val="clear" w:color="auto" w:fill="FFFFFF"/>
        </w:rPr>
        <w:sectPr>
          <w:footerReference r:id="rId3" w:type="default"/>
          <w:pgSz w:w="12242" w:h="15842"/>
          <w:pgMar w:top="1440" w:right="1800" w:bottom="1440" w:left="1800" w:header="851" w:footer="992" w:gutter="0"/>
          <w:pgNumType w:fmt="decimal" w:start="1"/>
          <w:cols w:space="425" w:num="1"/>
          <w:docGrid w:type="lines" w:linePitch="312" w:charSpace="0"/>
        </w:sectPr>
      </w:pPr>
    </w:p>
    <w:p>
      <w:pPr>
        <w:widowControl/>
        <w:spacing w:line="360" w:lineRule="auto"/>
        <w:rPr>
          <w:rFonts w:ascii="Times New Roman" w:hAnsi="Times New Roman" w:eastAsia="宋体" w:cs="宋体"/>
          <w:b/>
          <w:kern w:val="0"/>
          <w:sz w:val="24"/>
          <w:shd w:val="clear" w:color="auto" w:fill="FFFFFF"/>
        </w:rPr>
      </w:pPr>
      <w:r>
        <w:rPr>
          <w:rFonts w:hint="eastAsia" w:ascii="Times New Roman" w:hAnsi="Times New Roman" w:eastAsia="宋体" w:cs="宋体"/>
          <w:b/>
          <w:kern w:val="0"/>
          <w:sz w:val="24"/>
          <w:shd w:val="clear" w:color="auto" w:fill="FFFFFF"/>
        </w:rPr>
        <w:t>附件一：</w:t>
      </w:r>
    </w:p>
    <w:p>
      <w:pPr>
        <w:widowControl/>
        <w:spacing w:line="360" w:lineRule="auto"/>
        <w:jc w:val="center"/>
        <w:rPr>
          <w:rFonts w:ascii="宋体" w:hAnsi="宋体" w:eastAsia="宋体" w:cs="宋体"/>
          <w:b/>
          <w:sz w:val="24"/>
          <w:shd w:val="clear" w:color="auto" w:fill="FFFFFF"/>
        </w:rPr>
      </w:pPr>
      <w:r>
        <w:rPr>
          <w:rFonts w:hint="eastAsia" w:ascii="Times New Roman" w:hAnsi="Times New Roman" w:eastAsia="宋体" w:cs="宋体"/>
          <w:b/>
          <w:kern w:val="0"/>
          <w:sz w:val="24"/>
          <w:shd w:val="clear" w:color="auto" w:fill="FFFFFF"/>
        </w:rPr>
        <w:t>择优项目得分表</w:t>
      </w:r>
    </w:p>
    <w:tbl>
      <w:tblPr>
        <w:tblStyle w:val="7"/>
        <w:tblW w:w="9841" w:type="dxa"/>
        <w:jc w:val="center"/>
        <w:tblLayout w:type="fixed"/>
        <w:tblCellMar>
          <w:top w:w="0" w:type="dxa"/>
          <w:left w:w="0" w:type="dxa"/>
          <w:bottom w:w="0" w:type="dxa"/>
          <w:right w:w="0" w:type="dxa"/>
        </w:tblCellMar>
      </w:tblPr>
      <w:tblGrid>
        <w:gridCol w:w="469"/>
        <w:gridCol w:w="1588"/>
        <w:gridCol w:w="539"/>
        <w:gridCol w:w="2700"/>
        <w:gridCol w:w="2235"/>
        <w:gridCol w:w="2310"/>
      </w:tblGrid>
      <w:tr>
        <w:tblPrEx>
          <w:tblCellMar>
            <w:top w:w="0" w:type="dxa"/>
            <w:left w:w="0" w:type="dxa"/>
            <w:bottom w:w="0" w:type="dxa"/>
            <w:right w:w="0" w:type="dxa"/>
          </w:tblCellMar>
        </w:tblPrEx>
        <w:trPr>
          <w:trHeight w:val="340"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序号</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评审项目和内容</w:t>
            </w:r>
          </w:p>
        </w:tc>
        <w:tc>
          <w:tcPr>
            <w:tcW w:w="5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highlight w:val="yellow"/>
              </w:rPr>
            </w:pPr>
            <w:r>
              <w:rPr>
                <w:rFonts w:hint="eastAsia" w:ascii="宋体" w:hAnsi="宋体" w:eastAsia="宋体" w:cs="宋体"/>
                <w:bCs/>
                <w:kern w:val="0"/>
                <w:szCs w:val="21"/>
              </w:rPr>
              <w:t>分数</w:t>
            </w:r>
          </w:p>
        </w:tc>
        <w:tc>
          <w:tcPr>
            <w:tcW w:w="724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评审标准</w:t>
            </w:r>
          </w:p>
        </w:tc>
      </w:tr>
      <w:tr>
        <w:tblPrEx>
          <w:tblCellMar>
            <w:top w:w="0" w:type="dxa"/>
            <w:left w:w="0" w:type="dxa"/>
            <w:bottom w:w="0" w:type="dxa"/>
            <w:right w:w="0" w:type="dxa"/>
          </w:tblCellMar>
        </w:tblPrEx>
        <w:trPr>
          <w:trHeight w:val="340"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1</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财务经营状况</w:t>
            </w:r>
          </w:p>
        </w:tc>
        <w:tc>
          <w:tcPr>
            <w:tcW w:w="5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15</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p>
        </w:tc>
        <w:tc>
          <w:tcPr>
            <w:tcW w:w="2235"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p>
        </w:tc>
        <w:tc>
          <w:tcPr>
            <w:tcW w:w="2310"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p>
        </w:tc>
      </w:tr>
      <w:tr>
        <w:tblPrEx>
          <w:tblCellMar>
            <w:top w:w="0" w:type="dxa"/>
            <w:left w:w="0" w:type="dxa"/>
            <w:bottom w:w="0" w:type="dxa"/>
            <w:right w:w="0" w:type="dxa"/>
          </w:tblCellMar>
        </w:tblPrEx>
        <w:trPr>
          <w:trHeight w:val="340"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1.1</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资产负债率</w:t>
            </w:r>
          </w:p>
        </w:tc>
        <w:tc>
          <w:tcPr>
            <w:tcW w:w="5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5</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≤0.7得5分</w:t>
            </w:r>
          </w:p>
        </w:tc>
        <w:tc>
          <w:tcPr>
            <w:tcW w:w="2235"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（0.7,0.85）得3分</w:t>
            </w:r>
          </w:p>
        </w:tc>
        <w:tc>
          <w:tcPr>
            <w:tcW w:w="231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≥0.85不得分</w:t>
            </w:r>
          </w:p>
        </w:tc>
      </w:tr>
      <w:tr>
        <w:tblPrEx>
          <w:tblCellMar>
            <w:top w:w="0" w:type="dxa"/>
            <w:left w:w="0" w:type="dxa"/>
            <w:bottom w:w="0" w:type="dxa"/>
            <w:right w:w="0" w:type="dxa"/>
          </w:tblCellMar>
        </w:tblPrEx>
        <w:trPr>
          <w:trHeight w:val="340"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1.2</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速动比率</w:t>
            </w:r>
          </w:p>
        </w:tc>
        <w:tc>
          <w:tcPr>
            <w:tcW w:w="5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5</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ind w:firstLine="840" w:firstLineChars="400"/>
              <w:jc w:val="both"/>
              <w:rPr>
                <w:rFonts w:ascii="宋体" w:hAnsi="宋体" w:eastAsia="宋体" w:cs="宋体"/>
                <w:bCs/>
                <w:szCs w:val="21"/>
              </w:rPr>
            </w:pPr>
            <w:r>
              <w:rPr>
                <w:rFonts w:hint="eastAsia" w:ascii="宋体" w:hAnsi="宋体" w:eastAsia="宋体" w:cs="宋体"/>
                <w:bCs/>
                <w:kern w:val="0"/>
                <w:szCs w:val="21"/>
              </w:rPr>
              <w:t>≥1得5分</w:t>
            </w:r>
          </w:p>
        </w:tc>
        <w:tc>
          <w:tcPr>
            <w:tcW w:w="2235"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（0.7,1）得3分</w:t>
            </w:r>
          </w:p>
        </w:tc>
        <w:tc>
          <w:tcPr>
            <w:tcW w:w="231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bCs/>
                <w:szCs w:val="21"/>
              </w:rPr>
            </w:pPr>
            <w:r>
              <w:rPr>
                <w:rFonts w:hint="eastAsia" w:ascii="宋体" w:hAnsi="宋体" w:eastAsia="宋体" w:cs="宋体"/>
                <w:bCs/>
                <w:kern w:val="0"/>
                <w:szCs w:val="21"/>
              </w:rPr>
              <w:t>≤0.7不得分</w:t>
            </w:r>
          </w:p>
        </w:tc>
      </w:tr>
      <w:tr>
        <w:tblPrEx>
          <w:tblCellMar>
            <w:top w:w="0" w:type="dxa"/>
            <w:left w:w="0" w:type="dxa"/>
            <w:bottom w:w="0" w:type="dxa"/>
            <w:right w:w="0" w:type="dxa"/>
          </w:tblCellMar>
        </w:tblPrEx>
        <w:trPr>
          <w:trHeight w:val="340"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1.3</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bCs/>
                <w:kern w:val="0"/>
                <w:szCs w:val="21"/>
              </w:rPr>
              <w:t>营业额（万元）</w:t>
            </w:r>
          </w:p>
        </w:tc>
        <w:tc>
          <w:tcPr>
            <w:tcW w:w="5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5</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szCs w:val="21"/>
              </w:rPr>
            </w:pPr>
            <w:r>
              <w:rPr>
                <w:rFonts w:hint="eastAsia" w:ascii="宋体" w:hAnsi="宋体" w:eastAsia="宋体" w:cs="宋体"/>
                <w:bCs/>
                <w:kern w:val="0"/>
                <w:szCs w:val="21"/>
              </w:rPr>
              <w:t>≥1000得5分</w:t>
            </w:r>
          </w:p>
        </w:tc>
        <w:tc>
          <w:tcPr>
            <w:tcW w:w="2235"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szCs w:val="21"/>
              </w:rPr>
            </w:pPr>
            <w:r>
              <w:rPr>
                <w:rFonts w:hint="eastAsia" w:ascii="宋体" w:hAnsi="宋体" w:eastAsia="宋体" w:cs="宋体"/>
                <w:kern w:val="0"/>
                <w:szCs w:val="21"/>
              </w:rPr>
              <w:t>（</w:t>
            </w:r>
            <w:r>
              <w:rPr>
                <w:rFonts w:hint="eastAsia" w:ascii="宋体" w:hAnsi="宋体" w:eastAsia="宋体" w:cs="宋体"/>
                <w:bCs/>
                <w:kern w:val="0"/>
                <w:szCs w:val="21"/>
              </w:rPr>
              <w:t>500</w:t>
            </w:r>
            <w:r>
              <w:rPr>
                <w:rFonts w:hint="eastAsia" w:ascii="宋体" w:hAnsi="宋体" w:eastAsia="宋体" w:cs="宋体"/>
                <w:kern w:val="0"/>
                <w:szCs w:val="21"/>
              </w:rPr>
              <w:t>，</w:t>
            </w:r>
            <w:r>
              <w:rPr>
                <w:rFonts w:hint="eastAsia" w:ascii="宋体" w:hAnsi="宋体" w:eastAsia="宋体" w:cs="宋体"/>
                <w:bCs/>
                <w:kern w:val="0"/>
                <w:szCs w:val="21"/>
              </w:rPr>
              <w:t xml:space="preserve"> 1000</w:t>
            </w:r>
            <w:r>
              <w:rPr>
                <w:rFonts w:hint="eastAsia" w:ascii="宋体" w:hAnsi="宋体" w:eastAsia="宋体" w:cs="宋体"/>
                <w:kern w:val="0"/>
                <w:szCs w:val="21"/>
              </w:rPr>
              <w:t>）</w:t>
            </w:r>
            <w:r>
              <w:rPr>
                <w:rFonts w:hint="eastAsia" w:ascii="宋体" w:hAnsi="宋体" w:eastAsia="宋体" w:cs="宋体"/>
                <w:bCs/>
                <w:kern w:val="0"/>
                <w:szCs w:val="21"/>
              </w:rPr>
              <w:t>得3分</w:t>
            </w:r>
          </w:p>
        </w:tc>
        <w:tc>
          <w:tcPr>
            <w:tcW w:w="231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szCs w:val="21"/>
              </w:rPr>
            </w:pPr>
            <w:r>
              <w:rPr>
                <w:rFonts w:hint="eastAsia" w:ascii="宋体" w:hAnsi="宋体" w:eastAsia="宋体" w:cs="宋体"/>
                <w:bCs/>
                <w:kern w:val="0"/>
                <w:szCs w:val="21"/>
              </w:rPr>
              <w:t>≤500不得分</w:t>
            </w:r>
          </w:p>
        </w:tc>
      </w:tr>
      <w:tr>
        <w:tblPrEx>
          <w:tblCellMar>
            <w:top w:w="0" w:type="dxa"/>
            <w:left w:w="0" w:type="dxa"/>
            <w:bottom w:w="0" w:type="dxa"/>
            <w:right w:w="0" w:type="dxa"/>
          </w:tblCellMar>
        </w:tblPrEx>
        <w:trPr>
          <w:trHeight w:val="340"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2</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履约信用</w:t>
            </w:r>
          </w:p>
        </w:tc>
        <w:tc>
          <w:tcPr>
            <w:tcW w:w="5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5</w:t>
            </w:r>
          </w:p>
        </w:tc>
        <w:tc>
          <w:tcPr>
            <w:tcW w:w="2700" w:type="dxa"/>
            <w:tcBorders>
              <w:top w:val="single" w:color="auto" w:sz="4" w:space="0"/>
              <w:left w:val="single" w:color="auto" w:sz="4" w:space="0"/>
              <w:bottom w:val="nil"/>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201</w:t>
            </w:r>
            <w:r>
              <w:rPr>
                <w:rFonts w:hint="eastAsia" w:ascii="宋体" w:hAnsi="Times New Roman" w:eastAsia="宋体" w:cs="宋体"/>
                <w:bCs/>
                <w:kern w:val="0"/>
                <w:szCs w:val="21"/>
                <w:lang w:val="en-US" w:eastAsia="zh-CN"/>
              </w:rPr>
              <w:t>6</w:t>
            </w:r>
            <w:r>
              <w:rPr>
                <w:rFonts w:hint="eastAsia" w:ascii="宋体" w:hAnsi="Times New Roman" w:eastAsia="宋体" w:cs="宋体"/>
                <w:bCs/>
                <w:kern w:val="0"/>
                <w:szCs w:val="21"/>
              </w:rPr>
              <w:t>年-201</w:t>
            </w:r>
            <w:r>
              <w:rPr>
                <w:rFonts w:hint="eastAsia" w:ascii="宋体" w:hAnsi="Times New Roman" w:eastAsia="宋体" w:cs="宋体"/>
                <w:bCs/>
                <w:kern w:val="0"/>
                <w:szCs w:val="21"/>
                <w:lang w:val="en-US" w:eastAsia="zh-CN"/>
              </w:rPr>
              <w:t>8</w:t>
            </w:r>
            <w:r>
              <w:rPr>
                <w:rFonts w:hint="eastAsia" w:ascii="宋体" w:hAnsi="Times New Roman" w:eastAsia="宋体" w:cs="宋体"/>
                <w:bCs/>
                <w:kern w:val="0"/>
                <w:szCs w:val="21"/>
              </w:rPr>
              <w:t>年三年均有工商管理部门颁发的的“守合同重信用”证书5分</w:t>
            </w:r>
          </w:p>
        </w:tc>
        <w:tc>
          <w:tcPr>
            <w:tcW w:w="2235"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201</w:t>
            </w:r>
            <w:r>
              <w:rPr>
                <w:rFonts w:hint="eastAsia" w:ascii="宋体" w:hAnsi="Times New Roman" w:eastAsia="宋体" w:cs="宋体"/>
                <w:bCs/>
                <w:kern w:val="0"/>
                <w:szCs w:val="21"/>
                <w:lang w:val="en-US" w:eastAsia="zh-CN"/>
              </w:rPr>
              <w:t>6</w:t>
            </w:r>
            <w:r>
              <w:rPr>
                <w:rFonts w:hint="eastAsia" w:ascii="宋体" w:hAnsi="Times New Roman" w:eastAsia="宋体" w:cs="宋体"/>
                <w:bCs/>
                <w:kern w:val="0"/>
                <w:szCs w:val="21"/>
              </w:rPr>
              <w:t>年-201</w:t>
            </w:r>
            <w:r>
              <w:rPr>
                <w:rFonts w:hint="eastAsia" w:ascii="宋体" w:hAnsi="Times New Roman" w:eastAsia="宋体" w:cs="宋体"/>
                <w:bCs/>
                <w:kern w:val="0"/>
                <w:szCs w:val="21"/>
                <w:lang w:val="en-US" w:eastAsia="zh-CN"/>
              </w:rPr>
              <w:t>8</w:t>
            </w:r>
            <w:r>
              <w:rPr>
                <w:rFonts w:hint="eastAsia" w:ascii="宋体" w:hAnsi="Times New Roman" w:eastAsia="宋体" w:cs="宋体"/>
                <w:bCs/>
                <w:kern w:val="0"/>
                <w:szCs w:val="21"/>
              </w:rPr>
              <w:t>年三年内任</w:t>
            </w:r>
            <w:r>
              <w:rPr>
                <w:rFonts w:hint="eastAsia" w:ascii="宋体" w:hAnsi="Times New Roman" w:eastAsia="宋体" w:cs="宋体"/>
                <w:bCs/>
                <w:kern w:val="0"/>
                <w:szCs w:val="21"/>
                <w:lang w:eastAsia="zh-CN"/>
              </w:rPr>
              <w:t>意</w:t>
            </w:r>
            <w:r>
              <w:rPr>
                <w:rFonts w:hint="eastAsia" w:ascii="宋体" w:hAnsi="Times New Roman" w:eastAsia="宋体" w:cs="宋体"/>
                <w:bCs/>
                <w:kern w:val="0"/>
                <w:szCs w:val="21"/>
              </w:rPr>
              <w:t>两年具有工商管理部门颁发的的“守合同重信用”证书3分</w:t>
            </w:r>
          </w:p>
        </w:tc>
        <w:tc>
          <w:tcPr>
            <w:tcW w:w="231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201</w:t>
            </w:r>
            <w:r>
              <w:rPr>
                <w:rFonts w:hint="eastAsia" w:ascii="宋体" w:hAnsi="Times New Roman" w:eastAsia="宋体" w:cs="宋体"/>
                <w:bCs/>
                <w:kern w:val="0"/>
                <w:szCs w:val="21"/>
                <w:lang w:val="en-US" w:eastAsia="zh-CN"/>
              </w:rPr>
              <w:t>6</w:t>
            </w:r>
            <w:r>
              <w:rPr>
                <w:rFonts w:hint="eastAsia" w:ascii="宋体" w:hAnsi="Times New Roman" w:eastAsia="宋体" w:cs="宋体"/>
                <w:bCs/>
                <w:kern w:val="0"/>
                <w:szCs w:val="21"/>
              </w:rPr>
              <w:t>年-201</w:t>
            </w:r>
            <w:r>
              <w:rPr>
                <w:rFonts w:hint="eastAsia" w:ascii="宋体" w:hAnsi="Times New Roman" w:eastAsia="宋体" w:cs="宋体"/>
                <w:bCs/>
                <w:kern w:val="0"/>
                <w:szCs w:val="21"/>
                <w:lang w:val="en-US" w:eastAsia="zh-CN"/>
              </w:rPr>
              <w:t>8</w:t>
            </w:r>
            <w:r>
              <w:rPr>
                <w:rFonts w:hint="eastAsia" w:ascii="宋体" w:hAnsi="Times New Roman" w:eastAsia="宋体" w:cs="宋体"/>
                <w:bCs/>
                <w:kern w:val="0"/>
                <w:szCs w:val="21"/>
              </w:rPr>
              <w:t>年三年内有一年具有工商管理部门颁发的的“守合同重信用”证书1分，</w:t>
            </w:r>
            <w:r>
              <w:rPr>
                <w:rFonts w:hint="eastAsia" w:ascii="宋体" w:hAnsi="宋体" w:eastAsia="宋体" w:cs="宋体"/>
                <w:bCs/>
                <w:kern w:val="0"/>
                <w:szCs w:val="21"/>
              </w:rPr>
              <w:t>没有不得分</w:t>
            </w:r>
          </w:p>
        </w:tc>
      </w:tr>
      <w:tr>
        <w:tblPrEx>
          <w:tblCellMar>
            <w:top w:w="0" w:type="dxa"/>
            <w:left w:w="0" w:type="dxa"/>
            <w:bottom w:w="0" w:type="dxa"/>
            <w:right w:w="0" w:type="dxa"/>
          </w:tblCellMar>
        </w:tblPrEx>
        <w:trPr>
          <w:cantSplit/>
          <w:trHeight w:val="441"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bCs/>
                <w:szCs w:val="21"/>
              </w:rPr>
            </w:pPr>
            <w:r>
              <w:rPr>
                <w:rFonts w:hint="eastAsia" w:ascii="宋体" w:hAnsi="宋体" w:eastAsia="宋体" w:cs="宋体"/>
                <w:bCs/>
                <w:kern w:val="0"/>
                <w:szCs w:val="21"/>
              </w:rPr>
              <w:t>3</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bCs/>
                <w:szCs w:val="21"/>
              </w:rPr>
            </w:pPr>
            <w:r>
              <w:rPr>
                <w:rFonts w:hint="eastAsia" w:ascii="宋体" w:hAnsi="宋体" w:eastAsia="宋体" w:cs="宋体"/>
                <w:bCs/>
                <w:kern w:val="0"/>
                <w:szCs w:val="21"/>
              </w:rPr>
              <w:t>公司规模</w:t>
            </w:r>
          </w:p>
        </w:tc>
        <w:tc>
          <w:tcPr>
            <w:tcW w:w="539" w:type="dxa"/>
            <w:tcBorders>
              <w:top w:val="single" w:color="auto" w:sz="4" w:space="0"/>
              <w:left w:val="single" w:color="auto" w:sz="4" w:space="0"/>
              <w:bottom w:val="single" w:color="auto" w:sz="4" w:space="0"/>
              <w:right w:val="nil"/>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10</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注册资本≥1000万元得10分</w:t>
            </w:r>
          </w:p>
        </w:tc>
        <w:tc>
          <w:tcPr>
            <w:tcW w:w="2235"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注册资本≥800万元且＜1000万元得5分</w:t>
            </w:r>
          </w:p>
        </w:tc>
        <w:tc>
          <w:tcPr>
            <w:tcW w:w="231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注册资本＜800万元不得分</w:t>
            </w:r>
          </w:p>
        </w:tc>
      </w:tr>
      <w:tr>
        <w:tblPrEx>
          <w:tblCellMar>
            <w:top w:w="0" w:type="dxa"/>
            <w:left w:w="0" w:type="dxa"/>
            <w:bottom w:w="0" w:type="dxa"/>
            <w:right w:w="0" w:type="dxa"/>
          </w:tblCellMar>
        </w:tblPrEx>
        <w:trPr>
          <w:trHeight w:val="391"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bCs/>
                <w:szCs w:val="21"/>
              </w:rPr>
            </w:pPr>
            <w:r>
              <w:rPr>
                <w:rFonts w:hint="eastAsia" w:ascii="宋体" w:hAnsi="宋体" w:eastAsia="宋体" w:cs="宋体"/>
                <w:bCs/>
                <w:kern w:val="0"/>
                <w:szCs w:val="21"/>
              </w:rPr>
              <w:t>4</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供应品牌</w:t>
            </w:r>
          </w:p>
        </w:tc>
        <w:tc>
          <w:tcPr>
            <w:tcW w:w="539" w:type="dxa"/>
            <w:tcBorders>
              <w:top w:val="single" w:color="auto" w:sz="4" w:space="0"/>
              <w:left w:val="nil"/>
              <w:bottom w:val="single" w:color="auto" w:sz="4" w:space="0"/>
              <w:right w:val="nil"/>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20</w:t>
            </w:r>
          </w:p>
        </w:tc>
        <w:tc>
          <w:tcPr>
            <w:tcW w:w="724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供应商每提供一个品牌授权的得4分，本项最多得20分。</w:t>
            </w:r>
          </w:p>
          <w:p>
            <w:pPr>
              <w:widowControl/>
              <w:spacing w:line="360" w:lineRule="auto"/>
              <w:jc w:val="center"/>
              <w:rPr>
                <w:rFonts w:ascii="宋体" w:hAnsi="宋体" w:eastAsia="宋体" w:cs="宋体"/>
                <w:szCs w:val="21"/>
              </w:rPr>
            </w:pPr>
            <w:r>
              <w:rPr>
                <w:rFonts w:hint="eastAsia" w:ascii="宋体" w:hAnsi="宋体" w:eastAsia="宋体" w:cs="宋体"/>
                <w:szCs w:val="21"/>
              </w:rPr>
              <w:t>注：所提供品牌必须为资格审查条件中所列品牌方可计算得分。</w:t>
            </w:r>
          </w:p>
        </w:tc>
      </w:tr>
      <w:tr>
        <w:tblPrEx>
          <w:tblCellMar>
            <w:top w:w="0" w:type="dxa"/>
            <w:left w:w="0" w:type="dxa"/>
            <w:bottom w:w="0" w:type="dxa"/>
            <w:right w:w="0" w:type="dxa"/>
          </w:tblCellMar>
        </w:tblPrEx>
        <w:trPr>
          <w:trHeight w:val="4320" w:hRule="atLeast"/>
          <w:jc w:val="center"/>
        </w:trPr>
        <w:tc>
          <w:tcPr>
            <w:tcW w:w="469" w:type="dxa"/>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bCs/>
                <w:szCs w:val="21"/>
              </w:rPr>
            </w:pPr>
            <w:r>
              <w:rPr>
                <w:rFonts w:hint="eastAsia" w:ascii="宋体" w:hAnsi="宋体" w:eastAsia="宋体" w:cs="宋体"/>
                <w:bCs/>
                <w:kern w:val="0"/>
                <w:szCs w:val="21"/>
              </w:rPr>
              <w:t>5</w:t>
            </w:r>
          </w:p>
        </w:tc>
        <w:tc>
          <w:tcPr>
            <w:tcW w:w="1588" w:type="dxa"/>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总体业绩</w:t>
            </w:r>
          </w:p>
        </w:tc>
        <w:tc>
          <w:tcPr>
            <w:tcW w:w="539" w:type="dxa"/>
            <w:tcBorders>
              <w:top w:val="single" w:color="auto" w:sz="4" w:space="0"/>
              <w:left w:val="nil"/>
              <w:right w:val="nil"/>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15</w:t>
            </w:r>
          </w:p>
        </w:tc>
        <w:tc>
          <w:tcPr>
            <w:tcW w:w="2700" w:type="dxa"/>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201</w:t>
            </w:r>
            <w:r>
              <w:rPr>
                <w:rFonts w:hint="eastAsia" w:ascii="宋体" w:hAnsi="宋体" w:eastAsia="宋体" w:cs="宋体"/>
                <w:kern w:val="0"/>
                <w:szCs w:val="21"/>
                <w:lang w:val="en-US" w:eastAsia="zh-CN"/>
              </w:rPr>
              <w:t>9</w:t>
            </w:r>
            <w:r>
              <w:rPr>
                <w:rFonts w:hint="eastAsia" w:ascii="宋体" w:hAnsi="宋体" w:eastAsia="宋体" w:cs="宋体"/>
                <w:kern w:val="0"/>
                <w:szCs w:val="21"/>
              </w:rPr>
              <w:t>年1月1日起至</w:t>
            </w:r>
            <w:r>
              <w:rPr>
                <w:rFonts w:hint="eastAsia" w:ascii="Times New Roman" w:hAnsi="Times New Roman" w:eastAsia="宋体" w:cs="宋体"/>
                <w:kern w:val="0"/>
                <w:szCs w:val="21"/>
              </w:rPr>
              <w:t>投标报名截止时间前</w:t>
            </w:r>
            <w:r>
              <w:rPr>
                <w:rFonts w:hint="eastAsia" w:ascii="宋体" w:hAnsi="宋体" w:eastAsia="宋体" w:cs="宋体"/>
                <w:kern w:val="0"/>
                <w:szCs w:val="21"/>
              </w:rPr>
              <w:t>完成钢筋材料供应数量≥5000吨的得15分</w:t>
            </w:r>
          </w:p>
          <w:p>
            <w:pPr>
              <w:widowControl/>
              <w:spacing w:line="360" w:lineRule="auto"/>
              <w:jc w:val="center"/>
              <w:rPr>
                <w:rFonts w:ascii="宋体" w:hAnsi="宋体" w:eastAsia="宋体" w:cs="宋体"/>
                <w:szCs w:val="21"/>
              </w:rPr>
            </w:pPr>
            <w:r>
              <w:rPr>
                <w:rFonts w:hint="eastAsia" w:ascii="宋体" w:hAnsi="宋体" w:eastAsia="宋体" w:cs="宋体"/>
                <w:kern w:val="0"/>
                <w:szCs w:val="21"/>
              </w:rPr>
              <w:t>注：应同时提供供货合同和收款发票（必须为201</w:t>
            </w:r>
            <w:r>
              <w:rPr>
                <w:rFonts w:hint="eastAsia" w:ascii="宋体" w:hAnsi="宋体" w:eastAsia="宋体" w:cs="宋体"/>
                <w:kern w:val="0"/>
                <w:szCs w:val="21"/>
                <w:lang w:val="en-US" w:eastAsia="zh-CN"/>
              </w:rPr>
              <w:t>9</w:t>
            </w:r>
            <w:r>
              <w:rPr>
                <w:rFonts w:hint="eastAsia" w:ascii="宋体" w:hAnsi="宋体" w:eastAsia="宋体" w:cs="宋体"/>
                <w:kern w:val="0"/>
                <w:szCs w:val="21"/>
              </w:rPr>
              <w:t>年</w:t>
            </w:r>
            <w:r>
              <w:rPr>
                <w:rFonts w:hint="eastAsia" w:ascii="宋体" w:hAnsi="宋体" w:eastAsia="宋体" w:cs="宋体"/>
                <w:kern w:val="0"/>
                <w:szCs w:val="21"/>
                <w:lang w:val="en-US" w:eastAsia="zh-CN"/>
              </w:rPr>
              <w:t>12</w:t>
            </w:r>
            <w:r>
              <w:rPr>
                <w:rFonts w:hint="eastAsia" w:ascii="宋体" w:hAnsi="宋体" w:eastAsia="宋体" w:cs="宋体"/>
                <w:kern w:val="0"/>
                <w:szCs w:val="21"/>
              </w:rPr>
              <w:t>月</w:t>
            </w:r>
            <w:r>
              <w:rPr>
                <w:rFonts w:hint="eastAsia" w:ascii="宋体" w:hAnsi="宋体" w:eastAsia="宋体" w:cs="宋体"/>
                <w:kern w:val="0"/>
                <w:szCs w:val="21"/>
                <w:lang w:val="en-US" w:eastAsia="zh-CN"/>
              </w:rPr>
              <w:t>30</w:t>
            </w:r>
            <w:r>
              <w:rPr>
                <w:rFonts w:hint="eastAsia" w:ascii="宋体" w:hAnsi="宋体" w:eastAsia="宋体" w:cs="宋体"/>
                <w:kern w:val="0"/>
                <w:szCs w:val="21"/>
              </w:rPr>
              <w:t>日前的发票）作为证明材料，供应数量及时间以收款发票为准。</w:t>
            </w:r>
          </w:p>
        </w:tc>
        <w:tc>
          <w:tcPr>
            <w:tcW w:w="2235" w:type="dxa"/>
            <w:tcBorders>
              <w:top w:val="single" w:color="auto" w:sz="4" w:space="0"/>
              <w:left w:val="nil"/>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201</w:t>
            </w:r>
            <w:r>
              <w:rPr>
                <w:rFonts w:hint="eastAsia" w:ascii="宋体" w:hAnsi="宋体" w:eastAsia="宋体" w:cs="宋体"/>
                <w:kern w:val="0"/>
                <w:szCs w:val="21"/>
                <w:lang w:val="en-US" w:eastAsia="zh-CN"/>
              </w:rPr>
              <w:t>9</w:t>
            </w:r>
            <w:r>
              <w:rPr>
                <w:rFonts w:hint="eastAsia" w:ascii="宋体" w:hAnsi="宋体" w:eastAsia="宋体" w:cs="宋体"/>
                <w:kern w:val="0"/>
                <w:szCs w:val="21"/>
              </w:rPr>
              <w:t>年1月1日起至</w:t>
            </w:r>
            <w:r>
              <w:rPr>
                <w:rFonts w:hint="eastAsia" w:ascii="Times New Roman" w:hAnsi="Times New Roman" w:eastAsia="宋体" w:cs="宋体"/>
                <w:kern w:val="0"/>
                <w:szCs w:val="21"/>
              </w:rPr>
              <w:t>投标报名截止时间前</w:t>
            </w:r>
            <w:r>
              <w:rPr>
                <w:rFonts w:hint="eastAsia" w:ascii="宋体" w:hAnsi="宋体" w:eastAsia="宋体" w:cs="宋体"/>
                <w:kern w:val="0"/>
                <w:szCs w:val="21"/>
              </w:rPr>
              <w:t>完成钢筋材料供应数量</w:t>
            </w:r>
            <w:r>
              <w:rPr>
                <w:rFonts w:ascii="Times New Roman" w:hAnsi="Times New Roman" w:eastAsia="宋体" w:cs="Times New Roman"/>
                <w:kern w:val="0"/>
                <w:szCs w:val="21"/>
              </w:rPr>
              <w:t>&gt;</w:t>
            </w:r>
            <w:r>
              <w:rPr>
                <w:rFonts w:hint="eastAsia" w:ascii="宋体" w:hAnsi="宋体" w:eastAsia="宋体" w:cs="宋体"/>
                <w:kern w:val="0"/>
                <w:szCs w:val="21"/>
              </w:rPr>
              <w:t>2000吨且＜5000吨的得10分注：应同时提供供货合同和收款发票（必须为201</w:t>
            </w:r>
            <w:r>
              <w:rPr>
                <w:rFonts w:hint="eastAsia" w:ascii="宋体" w:hAnsi="宋体" w:eastAsia="宋体" w:cs="宋体"/>
                <w:kern w:val="0"/>
                <w:szCs w:val="21"/>
                <w:lang w:val="en-US" w:eastAsia="zh-CN"/>
              </w:rPr>
              <w:t>9</w:t>
            </w:r>
            <w:r>
              <w:rPr>
                <w:rFonts w:hint="eastAsia" w:ascii="宋体" w:hAnsi="宋体" w:eastAsia="宋体" w:cs="宋体"/>
                <w:kern w:val="0"/>
                <w:szCs w:val="21"/>
              </w:rPr>
              <w:t>年</w:t>
            </w:r>
            <w:r>
              <w:rPr>
                <w:rFonts w:hint="eastAsia" w:ascii="宋体" w:hAnsi="宋体" w:eastAsia="宋体" w:cs="宋体"/>
                <w:kern w:val="0"/>
                <w:szCs w:val="21"/>
                <w:lang w:val="en-US" w:eastAsia="zh-CN"/>
              </w:rPr>
              <w:t>12</w:t>
            </w:r>
            <w:r>
              <w:rPr>
                <w:rFonts w:hint="eastAsia" w:ascii="宋体" w:hAnsi="宋体" w:eastAsia="宋体" w:cs="宋体"/>
                <w:kern w:val="0"/>
                <w:szCs w:val="21"/>
              </w:rPr>
              <w:t>月30日前的发票）作为证明材料，供应数量及时间以收款发票为准。</w:t>
            </w:r>
          </w:p>
        </w:tc>
        <w:tc>
          <w:tcPr>
            <w:tcW w:w="2310"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201</w:t>
            </w:r>
            <w:r>
              <w:rPr>
                <w:rFonts w:hint="eastAsia" w:ascii="宋体" w:hAnsi="宋体" w:eastAsia="宋体" w:cs="宋体"/>
                <w:kern w:val="0"/>
                <w:szCs w:val="21"/>
                <w:lang w:val="en-US" w:eastAsia="zh-CN"/>
              </w:rPr>
              <w:t>9</w:t>
            </w:r>
            <w:r>
              <w:rPr>
                <w:rFonts w:hint="eastAsia" w:ascii="宋体" w:hAnsi="宋体" w:eastAsia="宋体" w:cs="宋体"/>
                <w:kern w:val="0"/>
                <w:szCs w:val="21"/>
              </w:rPr>
              <w:t>年1月1日起至</w:t>
            </w:r>
            <w:r>
              <w:rPr>
                <w:rFonts w:hint="eastAsia" w:ascii="Times New Roman" w:hAnsi="Times New Roman" w:eastAsia="宋体" w:cs="宋体"/>
                <w:kern w:val="0"/>
                <w:szCs w:val="21"/>
              </w:rPr>
              <w:t>投标报名截止时间前</w:t>
            </w:r>
            <w:r>
              <w:rPr>
                <w:rFonts w:hint="eastAsia" w:ascii="宋体" w:hAnsi="宋体" w:eastAsia="宋体" w:cs="宋体"/>
                <w:kern w:val="0"/>
                <w:szCs w:val="21"/>
              </w:rPr>
              <w:t>完成钢筋材料供应</w:t>
            </w:r>
            <w:r>
              <w:rPr>
                <w:rFonts w:hint="eastAsia" w:ascii="宋体" w:hAnsi="宋体" w:eastAsia="宋体" w:cs="宋体"/>
                <w:kern w:val="0"/>
                <w:szCs w:val="21"/>
                <w:highlight w:val="none"/>
              </w:rPr>
              <w:t>数量</w:t>
            </w:r>
            <w:r>
              <w:rPr>
                <w:rFonts w:hint="eastAsia" w:ascii="Times New Roman" w:hAnsi="Times New Roman" w:eastAsia="宋体" w:cs="宋体"/>
                <w:kern w:val="0"/>
                <w:szCs w:val="21"/>
                <w:highlight w:val="none"/>
              </w:rPr>
              <w:t>≤</w:t>
            </w:r>
            <w:r>
              <w:rPr>
                <w:rFonts w:hint="eastAsia" w:ascii="Times New Roman" w:hAnsi="Times New Roman" w:eastAsia="宋体" w:cs="宋体"/>
                <w:kern w:val="0"/>
                <w:szCs w:val="21"/>
                <w:highlight w:val="none"/>
                <w:lang w:val="en-US" w:eastAsia="zh-CN"/>
              </w:rPr>
              <w:t>20</w:t>
            </w:r>
            <w:r>
              <w:rPr>
                <w:rFonts w:hint="eastAsia" w:ascii="宋体" w:hAnsi="宋体" w:eastAsia="宋体" w:cs="宋体"/>
                <w:kern w:val="0"/>
                <w:szCs w:val="21"/>
                <w:highlight w:val="none"/>
              </w:rPr>
              <w:t>00吨</w:t>
            </w:r>
            <w:r>
              <w:rPr>
                <w:rFonts w:hint="eastAsia" w:ascii="宋体" w:hAnsi="宋体" w:eastAsia="宋体" w:cs="宋体"/>
                <w:kern w:val="0"/>
                <w:szCs w:val="21"/>
              </w:rPr>
              <w:t>的得5分，没有不得分。注：应同时提供供货合同和收款发票（必须为201</w:t>
            </w:r>
            <w:r>
              <w:rPr>
                <w:rFonts w:hint="eastAsia" w:ascii="宋体" w:hAnsi="宋体" w:eastAsia="宋体" w:cs="宋体"/>
                <w:kern w:val="0"/>
                <w:szCs w:val="21"/>
                <w:lang w:val="en-US" w:eastAsia="zh-CN"/>
              </w:rPr>
              <w:t>9</w:t>
            </w:r>
            <w:r>
              <w:rPr>
                <w:rFonts w:hint="eastAsia" w:ascii="宋体" w:hAnsi="宋体" w:eastAsia="宋体" w:cs="宋体"/>
                <w:kern w:val="0"/>
                <w:szCs w:val="21"/>
              </w:rPr>
              <w:t>年</w:t>
            </w:r>
            <w:r>
              <w:rPr>
                <w:rFonts w:hint="eastAsia" w:ascii="宋体" w:hAnsi="宋体" w:eastAsia="宋体" w:cs="宋体"/>
                <w:kern w:val="0"/>
                <w:szCs w:val="21"/>
                <w:lang w:val="en-US" w:eastAsia="zh-CN"/>
              </w:rPr>
              <w:t>12</w:t>
            </w:r>
            <w:r>
              <w:rPr>
                <w:rFonts w:hint="eastAsia" w:ascii="宋体" w:hAnsi="宋体" w:eastAsia="宋体" w:cs="宋体"/>
                <w:kern w:val="0"/>
                <w:szCs w:val="21"/>
              </w:rPr>
              <w:t>月30日前的发票）作为证明材料，供应数量及时间以收款发票为准。</w:t>
            </w:r>
          </w:p>
        </w:tc>
      </w:tr>
      <w:tr>
        <w:tblPrEx>
          <w:tblCellMar>
            <w:top w:w="0" w:type="dxa"/>
            <w:left w:w="0" w:type="dxa"/>
            <w:bottom w:w="0" w:type="dxa"/>
            <w:right w:w="0" w:type="dxa"/>
          </w:tblCellMar>
        </w:tblPrEx>
        <w:trPr>
          <w:trHeight w:val="528"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6</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line="360" w:lineRule="auto"/>
              <w:jc w:val="center"/>
              <w:rPr>
                <w:rFonts w:ascii="宋体" w:hAnsi="Times New Roman" w:eastAsia="宋体" w:cs="宋体"/>
                <w:szCs w:val="21"/>
              </w:rPr>
            </w:pPr>
            <w:r>
              <w:rPr>
                <w:rFonts w:hint="eastAsia" w:ascii="宋体" w:hAnsi="Times New Roman" w:eastAsia="宋体" w:cs="宋体"/>
                <w:kern w:val="0"/>
                <w:szCs w:val="21"/>
              </w:rPr>
              <w:t>项目服务能力</w:t>
            </w:r>
          </w:p>
        </w:tc>
        <w:tc>
          <w:tcPr>
            <w:tcW w:w="539" w:type="dxa"/>
            <w:tcBorders>
              <w:top w:val="single" w:color="auto" w:sz="4" w:space="0"/>
              <w:left w:val="nil"/>
              <w:bottom w:val="single" w:color="auto" w:sz="4" w:space="0"/>
              <w:right w:val="nil"/>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35</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p>
        </w:tc>
        <w:tc>
          <w:tcPr>
            <w:tcW w:w="2235"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p>
        </w:tc>
        <w:tc>
          <w:tcPr>
            <w:tcW w:w="2310"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p>
        </w:tc>
      </w:tr>
      <w:tr>
        <w:tblPrEx>
          <w:tblCellMar>
            <w:top w:w="0" w:type="dxa"/>
            <w:left w:w="0" w:type="dxa"/>
            <w:bottom w:w="0" w:type="dxa"/>
            <w:right w:w="0" w:type="dxa"/>
          </w:tblCellMar>
        </w:tblPrEx>
        <w:trPr>
          <w:trHeight w:val="405"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6.1</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line="360" w:lineRule="auto"/>
              <w:jc w:val="center"/>
              <w:rPr>
                <w:rFonts w:ascii="宋体" w:hAnsi="Times New Roman" w:eastAsia="宋体" w:cs="宋体"/>
                <w:szCs w:val="21"/>
              </w:rPr>
            </w:pPr>
            <w:r>
              <w:rPr>
                <w:rFonts w:hint="eastAsia" w:ascii="宋体" w:hAnsi="宋体" w:eastAsia="宋体" w:cs="宋体"/>
                <w:kern w:val="0"/>
                <w:szCs w:val="21"/>
              </w:rPr>
              <w:t>项目班子、管理人员</w:t>
            </w:r>
          </w:p>
        </w:tc>
        <w:tc>
          <w:tcPr>
            <w:tcW w:w="539" w:type="dxa"/>
            <w:tcBorders>
              <w:top w:val="single" w:color="auto" w:sz="4" w:space="0"/>
              <w:left w:val="nil"/>
              <w:bottom w:val="single" w:color="auto" w:sz="4" w:space="0"/>
              <w:right w:val="nil"/>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5</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kern w:val="0"/>
                <w:szCs w:val="21"/>
              </w:rPr>
              <w:t>优秀的项目管理班子，机构设置合理，人员齐备，项目负责人和技术负责人均具有丰富的同类工程钢材供应管理经验，熟悉建设工程材料供应的得3-5分。</w:t>
            </w:r>
          </w:p>
        </w:tc>
        <w:tc>
          <w:tcPr>
            <w:tcW w:w="2235"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kern w:val="0"/>
                <w:szCs w:val="21"/>
              </w:rPr>
              <w:t>一般的项目管理班子，机构设置基本合理，人员基本齐备，项目负责人和技术负责人均具有同类工程钢材供应管理经验，了解建设工程材料供应的得1-2分。</w:t>
            </w:r>
          </w:p>
        </w:tc>
        <w:tc>
          <w:tcPr>
            <w:tcW w:w="2310"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宋体" w:eastAsia="宋体" w:cs="宋体"/>
                <w:kern w:val="0"/>
                <w:szCs w:val="21"/>
              </w:rPr>
              <w:t>较差的项目管理班子，机构设置不合理，人员不齐备，项目负责人和技术负责人均不具有同类工程钢材供应管理经验，不了解建设工程材料供应的不得分。</w:t>
            </w:r>
          </w:p>
        </w:tc>
      </w:tr>
      <w:tr>
        <w:tblPrEx>
          <w:tblCellMar>
            <w:top w:w="0" w:type="dxa"/>
            <w:left w:w="0" w:type="dxa"/>
            <w:bottom w:w="0" w:type="dxa"/>
            <w:right w:w="0" w:type="dxa"/>
          </w:tblCellMar>
        </w:tblPrEx>
        <w:trPr>
          <w:trHeight w:val="702"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6.2</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line="360" w:lineRule="auto"/>
              <w:jc w:val="center"/>
              <w:rPr>
                <w:rFonts w:ascii="宋体" w:hAnsi="Times New Roman" w:eastAsia="宋体" w:cs="宋体"/>
                <w:szCs w:val="21"/>
              </w:rPr>
            </w:pPr>
            <w:r>
              <w:rPr>
                <w:rFonts w:hint="eastAsia" w:ascii="宋体" w:hAnsi="宋体" w:eastAsia="宋体" w:cs="宋体"/>
                <w:kern w:val="0"/>
                <w:szCs w:val="21"/>
              </w:rPr>
              <w:t>技术及调配方案配合施工服务措施</w:t>
            </w:r>
          </w:p>
        </w:tc>
        <w:tc>
          <w:tcPr>
            <w:tcW w:w="539" w:type="dxa"/>
            <w:tcBorders>
              <w:top w:val="single" w:color="auto" w:sz="4" w:space="0"/>
              <w:left w:val="nil"/>
              <w:bottom w:val="single" w:color="auto" w:sz="4" w:space="0"/>
              <w:right w:val="nil"/>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20</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保障供应方案优越、可靠、先进、合理，针对性很好，措施完善、具体、成熟的得</w:t>
            </w:r>
            <w:r>
              <w:rPr>
                <w:rFonts w:hint="eastAsia" w:ascii="宋体" w:hAnsi="宋体" w:eastAsia="宋体" w:cs="宋体"/>
                <w:kern w:val="0"/>
                <w:szCs w:val="21"/>
                <w:lang w:val="en-US" w:eastAsia="zh-CN"/>
              </w:rPr>
              <w:t>13</w:t>
            </w:r>
            <w:r>
              <w:rPr>
                <w:rFonts w:hint="eastAsia" w:ascii="宋体" w:hAnsi="宋体" w:eastAsia="宋体" w:cs="宋体"/>
                <w:kern w:val="0"/>
                <w:szCs w:val="21"/>
              </w:rPr>
              <w:t>-</w:t>
            </w:r>
            <w:r>
              <w:rPr>
                <w:rFonts w:hint="eastAsia" w:ascii="宋体" w:hAnsi="宋体" w:eastAsia="宋体" w:cs="宋体"/>
                <w:kern w:val="0"/>
                <w:szCs w:val="21"/>
                <w:lang w:val="en-US" w:eastAsia="zh-CN"/>
              </w:rPr>
              <w:t>20</w:t>
            </w:r>
            <w:r>
              <w:rPr>
                <w:rFonts w:hint="eastAsia" w:ascii="宋体" w:hAnsi="宋体" w:eastAsia="宋体" w:cs="宋体"/>
                <w:kern w:val="0"/>
                <w:szCs w:val="21"/>
              </w:rPr>
              <w:t>分。</w:t>
            </w:r>
          </w:p>
        </w:tc>
        <w:tc>
          <w:tcPr>
            <w:tcW w:w="2235"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保障供应方案可靠、合理，针对性较好，措施具体的得1-</w:t>
            </w:r>
            <w:r>
              <w:rPr>
                <w:rFonts w:hint="eastAsia" w:ascii="宋体" w:hAnsi="宋体" w:eastAsia="宋体" w:cs="宋体"/>
                <w:kern w:val="0"/>
                <w:szCs w:val="21"/>
                <w:lang w:val="en-US" w:eastAsia="zh-CN"/>
              </w:rPr>
              <w:t>12</w:t>
            </w:r>
            <w:r>
              <w:rPr>
                <w:rFonts w:hint="eastAsia" w:ascii="宋体" w:hAnsi="宋体" w:eastAsia="宋体" w:cs="宋体"/>
                <w:kern w:val="0"/>
                <w:szCs w:val="21"/>
              </w:rPr>
              <w:t>分；</w:t>
            </w:r>
          </w:p>
        </w:tc>
        <w:tc>
          <w:tcPr>
            <w:tcW w:w="2310"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保障供应方案不可靠、不合理，针对性较差，措施不具体的不得分；</w:t>
            </w:r>
          </w:p>
        </w:tc>
      </w:tr>
      <w:tr>
        <w:tblPrEx>
          <w:tblCellMar>
            <w:top w:w="0" w:type="dxa"/>
            <w:left w:w="0" w:type="dxa"/>
            <w:bottom w:w="0" w:type="dxa"/>
            <w:right w:w="0" w:type="dxa"/>
          </w:tblCellMar>
        </w:tblPrEx>
        <w:trPr>
          <w:trHeight w:val="405" w:hRule="atLeast"/>
          <w:jc w:val="center"/>
        </w:trPr>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6.3</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line="360" w:lineRule="auto"/>
              <w:jc w:val="center"/>
              <w:rPr>
                <w:rFonts w:ascii="宋体" w:hAnsi="Times New Roman" w:eastAsia="宋体" w:cs="宋体"/>
                <w:szCs w:val="21"/>
              </w:rPr>
            </w:pPr>
            <w:r>
              <w:rPr>
                <w:rFonts w:hint="eastAsia" w:ascii="宋体" w:hAnsi="宋体" w:eastAsia="宋体" w:cs="宋体"/>
                <w:kern w:val="0"/>
                <w:szCs w:val="21"/>
              </w:rPr>
              <w:t>质量保证措施</w:t>
            </w:r>
          </w:p>
        </w:tc>
        <w:tc>
          <w:tcPr>
            <w:tcW w:w="539" w:type="dxa"/>
            <w:tcBorders>
              <w:top w:val="single" w:color="auto" w:sz="4" w:space="0"/>
              <w:left w:val="nil"/>
              <w:bottom w:val="single" w:color="auto" w:sz="4" w:space="0"/>
              <w:right w:val="nil"/>
            </w:tcBorders>
            <w:shd w:val="clear" w:color="auto" w:fill="auto"/>
            <w:vAlign w:val="center"/>
          </w:tcPr>
          <w:p>
            <w:pPr>
              <w:widowControl/>
              <w:spacing w:line="360" w:lineRule="auto"/>
              <w:jc w:val="center"/>
              <w:rPr>
                <w:rFonts w:ascii="宋体" w:hAnsi="Times New Roman" w:eastAsia="宋体" w:cs="宋体"/>
                <w:bCs/>
                <w:szCs w:val="21"/>
              </w:rPr>
            </w:pPr>
            <w:r>
              <w:rPr>
                <w:rFonts w:hint="eastAsia" w:ascii="宋体" w:hAnsi="Times New Roman" w:eastAsia="宋体" w:cs="宋体"/>
                <w:bCs/>
                <w:kern w:val="0"/>
                <w:szCs w:val="21"/>
              </w:rPr>
              <w:t>10</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质量保证措施明确、具体、可行、针对性强、各项措施落实，通过质量管理体系ISO认证的得6-10分。</w:t>
            </w:r>
          </w:p>
        </w:tc>
        <w:tc>
          <w:tcPr>
            <w:tcW w:w="2235"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质量保证措施一般、针对性一般,通过质量管理体系ISO认证的得1-5分。</w:t>
            </w:r>
          </w:p>
        </w:tc>
        <w:tc>
          <w:tcPr>
            <w:tcW w:w="2310"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质量保证措施差、针对性差的不得分。</w:t>
            </w:r>
          </w:p>
        </w:tc>
      </w:tr>
    </w:tbl>
    <w:p>
      <w:pPr>
        <w:widowControl/>
        <w:spacing w:line="360" w:lineRule="auto"/>
        <w:jc w:val="left"/>
        <w:rPr>
          <w:sz w:val="24"/>
        </w:rPr>
      </w:pPr>
      <w:r>
        <w:rPr>
          <w:rFonts w:hint="eastAsia" w:ascii="Times New Roman" w:hAnsi="Times New Roman" w:eastAsia="宋体" w:cs="宋体"/>
          <w:kern w:val="0"/>
          <w:sz w:val="24"/>
          <w:shd w:val="clear" w:color="auto" w:fill="FFFFFF"/>
        </w:rPr>
        <w:t>注：</w:t>
      </w:r>
    </w:p>
    <w:p>
      <w:pPr>
        <w:widowControl/>
        <w:spacing w:line="360" w:lineRule="auto"/>
        <w:jc w:val="left"/>
        <w:rPr>
          <w:sz w:val="24"/>
        </w:rPr>
      </w:pPr>
      <w:r>
        <w:rPr>
          <w:rFonts w:ascii="Times New Roman" w:hAnsi="Times New Roman" w:eastAsia="宋体" w:cs="Times New Roman"/>
          <w:kern w:val="0"/>
          <w:sz w:val="24"/>
          <w:shd w:val="clear" w:color="auto" w:fill="FFFFFF"/>
        </w:rPr>
        <w:t>1</w:t>
      </w:r>
      <w:r>
        <w:rPr>
          <w:rFonts w:hint="eastAsia" w:ascii="Times New Roman" w:hAnsi="Times New Roman" w:eastAsia="宋体" w:cs="宋体"/>
          <w:kern w:val="0"/>
          <w:sz w:val="24"/>
          <w:shd w:val="clear" w:color="auto" w:fill="FFFFFF"/>
        </w:rPr>
        <w:t>、财务经营状况以</w:t>
      </w:r>
      <w:r>
        <w:rPr>
          <w:rFonts w:ascii="Times New Roman" w:hAnsi="Times New Roman" w:eastAsia="宋体" w:cs="Times New Roman"/>
          <w:kern w:val="0"/>
          <w:sz w:val="24"/>
          <w:shd w:val="clear" w:color="auto" w:fill="FFFFFF"/>
        </w:rPr>
        <w:t>201</w:t>
      </w:r>
      <w:r>
        <w:rPr>
          <w:rFonts w:hint="eastAsia" w:ascii="Times New Roman" w:hAnsi="Times New Roman" w:eastAsia="宋体" w:cs="Times New Roman"/>
          <w:kern w:val="0"/>
          <w:sz w:val="24"/>
          <w:shd w:val="clear" w:color="auto" w:fill="FFFFFF"/>
          <w:lang w:val="en-US" w:eastAsia="zh-CN"/>
        </w:rPr>
        <w:t>8</w:t>
      </w:r>
      <w:r>
        <w:rPr>
          <w:rFonts w:hint="eastAsia" w:ascii="Times New Roman" w:hAnsi="Times New Roman" w:eastAsia="宋体" w:cs="宋体"/>
          <w:kern w:val="0"/>
          <w:sz w:val="24"/>
          <w:shd w:val="clear" w:color="auto" w:fill="FFFFFF"/>
        </w:rPr>
        <w:t>年财务报表为准。</w:t>
      </w:r>
    </w:p>
    <w:p>
      <w:pPr>
        <w:widowControl/>
        <w:spacing w:line="360" w:lineRule="auto"/>
        <w:jc w:val="left"/>
        <w:rPr>
          <w:rFonts w:ascii="宋体" w:hAnsi="Times New Roman" w:eastAsia="宋体" w:cs="宋体"/>
          <w:kern w:val="0"/>
          <w:sz w:val="24"/>
          <w:shd w:val="clear" w:color="auto" w:fill="FFFFFF"/>
          <w:lang w:val="zh-CN"/>
        </w:rPr>
      </w:pPr>
      <w:r>
        <w:rPr>
          <w:rFonts w:ascii="Times New Roman" w:hAnsi="Times New Roman" w:eastAsia="宋体" w:cs="Times New Roman"/>
          <w:kern w:val="0"/>
          <w:sz w:val="24"/>
          <w:shd w:val="clear" w:color="auto" w:fill="FFFFFF"/>
        </w:rPr>
        <w:t>2</w:t>
      </w:r>
      <w:r>
        <w:rPr>
          <w:rFonts w:hint="eastAsia" w:ascii="宋体" w:hAnsi="宋体" w:eastAsia="宋体" w:cs="宋体"/>
          <w:kern w:val="0"/>
          <w:sz w:val="24"/>
          <w:shd w:val="clear" w:color="auto" w:fill="FFFFFF"/>
        </w:rPr>
        <w:t>、业绩证明材料须提供：</w:t>
      </w:r>
      <w:r>
        <w:rPr>
          <w:rFonts w:hint="eastAsia" w:ascii="宋体" w:hAnsi="Times New Roman" w:eastAsia="宋体" w:cs="宋体"/>
          <w:kern w:val="0"/>
          <w:sz w:val="24"/>
          <w:shd w:val="clear" w:color="auto" w:fill="FFFFFF"/>
          <w:lang w:val="zh-CN"/>
        </w:rPr>
        <w:t>需提供采购合同（含供货清单）、业主出具的</w:t>
      </w:r>
      <w:r>
        <w:rPr>
          <w:rFonts w:hint="eastAsia" w:ascii="宋体" w:hAnsi="宋体" w:eastAsia="宋体" w:cs="宋体"/>
          <w:kern w:val="0"/>
          <w:sz w:val="24"/>
          <w:shd w:val="clear" w:color="auto" w:fill="FFFFFF"/>
        </w:rPr>
        <w:t>201</w:t>
      </w:r>
      <w:r>
        <w:rPr>
          <w:rFonts w:hint="eastAsia" w:ascii="宋体" w:hAnsi="宋体" w:eastAsia="宋体" w:cs="宋体"/>
          <w:kern w:val="0"/>
          <w:sz w:val="24"/>
          <w:shd w:val="clear" w:color="auto" w:fill="FFFFFF"/>
          <w:lang w:val="en-US" w:eastAsia="zh-CN"/>
        </w:rPr>
        <w:t>9</w:t>
      </w:r>
      <w:r>
        <w:rPr>
          <w:rFonts w:hint="eastAsia" w:ascii="宋体" w:hAnsi="宋体" w:eastAsia="宋体" w:cs="宋体"/>
          <w:kern w:val="0"/>
          <w:sz w:val="24"/>
          <w:shd w:val="clear" w:color="auto" w:fill="FFFFFF"/>
        </w:rPr>
        <w:t>年起至投标截止日止的</w:t>
      </w:r>
      <w:r>
        <w:rPr>
          <w:rFonts w:hint="eastAsia" w:ascii="宋体" w:hAnsi="Times New Roman" w:eastAsia="宋体" w:cs="宋体"/>
          <w:kern w:val="0"/>
          <w:sz w:val="24"/>
          <w:shd w:val="clear" w:color="auto" w:fill="FFFFFF"/>
          <w:lang w:val="zh-CN"/>
        </w:rPr>
        <w:t>供货证明。</w:t>
      </w:r>
    </w:p>
    <w:p>
      <w:pPr>
        <w:widowControl/>
        <w:spacing w:line="360" w:lineRule="auto"/>
        <w:jc w:val="left"/>
        <w:rPr>
          <w:sz w:val="24"/>
        </w:rPr>
      </w:pPr>
      <w:r>
        <w:rPr>
          <w:rFonts w:ascii="Times New Roman" w:hAnsi="Times New Roman" w:eastAsia="宋体" w:cs="Times New Roman"/>
          <w:kern w:val="0"/>
          <w:sz w:val="24"/>
          <w:shd w:val="clear" w:color="auto" w:fill="FFFFFF"/>
        </w:rPr>
        <w:t>3</w:t>
      </w:r>
      <w:r>
        <w:rPr>
          <w:rFonts w:hint="eastAsia" w:ascii="Times New Roman" w:hAnsi="Times New Roman" w:eastAsia="宋体" w:cs="宋体"/>
          <w:kern w:val="0"/>
          <w:sz w:val="24"/>
          <w:shd w:val="clear" w:color="auto" w:fill="FFFFFF"/>
        </w:rPr>
        <w:t>、</w:t>
      </w:r>
      <w:r>
        <w:fldChar w:fldCharType="begin"/>
      </w:r>
      <w:r>
        <w:instrText xml:space="preserve"> HYPERLINK "http://baike.baidu.com/view/134674.htm" \t "http://www.gzggzy.cn/cms/wz/view/index/layout3/_blank" </w:instrText>
      </w:r>
      <w:r>
        <w:fldChar w:fldCharType="separate"/>
      </w:r>
      <w:r>
        <w:rPr>
          <w:rStyle w:val="10"/>
          <w:rFonts w:hint="eastAsia" w:ascii="Times New Roman" w:hAnsi="Times New Roman" w:eastAsia="宋体" w:cs="宋体"/>
          <w:color w:val="auto"/>
          <w:sz w:val="24"/>
          <w:shd w:val="clear" w:color="auto" w:fill="FFFFFF"/>
        </w:rPr>
        <w:t>资产负债率</w:t>
      </w:r>
      <w:r>
        <w:rPr>
          <w:rStyle w:val="10"/>
          <w:rFonts w:hint="eastAsia" w:ascii="Times New Roman" w:hAnsi="Times New Roman" w:eastAsia="宋体" w:cs="宋体"/>
          <w:color w:val="auto"/>
          <w:sz w:val="24"/>
          <w:shd w:val="clear" w:color="auto" w:fill="FFFFFF"/>
        </w:rPr>
        <w:fldChar w:fldCharType="end"/>
      </w:r>
      <w:r>
        <w:rPr>
          <w:rFonts w:ascii="Times New Roman" w:hAnsi="Times New Roman" w:eastAsia="宋体" w:cs="Times New Roman"/>
          <w:kern w:val="0"/>
          <w:sz w:val="24"/>
          <w:shd w:val="clear" w:color="auto" w:fill="FFFFFF"/>
        </w:rPr>
        <w:t>=</w:t>
      </w:r>
      <w:r>
        <w:rPr>
          <w:rFonts w:hint="eastAsia" w:ascii="Times New Roman" w:hAnsi="Times New Roman" w:eastAsia="宋体" w:cs="宋体"/>
          <w:kern w:val="0"/>
          <w:sz w:val="24"/>
          <w:shd w:val="clear" w:color="auto" w:fill="FFFFFF"/>
        </w:rPr>
        <w:t>负债总额</w:t>
      </w:r>
      <w:r>
        <w:rPr>
          <w:rFonts w:ascii="Times New Roman" w:hAnsi="Times New Roman" w:eastAsia="宋体" w:cs="Times New Roman"/>
          <w:kern w:val="0"/>
          <w:sz w:val="24"/>
          <w:shd w:val="clear" w:color="auto" w:fill="FFFFFF"/>
        </w:rPr>
        <w:t>/</w:t>
      </w:r>
      <w:r>
        <w:fldChar w:fldCharType="begin"/>
      </w:r>
      <w:r>
        <w:instrText xml:space="preserve"> HYPERLINK "http://baike.baidu.com/view/1451960.htm" \t "http://www.gzggzy.cn/cms/wz/view/index/layout3/_blank" </w:instrText>
      </w:r>
      <w:r>
        <w:fldChar w:fldCharType="separate"/>
      </w:r>
      <w:r>
        <w:rPr>
          <w:rStyle w:val="10"/>
          <w:rFonts w:hint="eastAsia" w:ascii="Times New Roman" w:hAnsi="Times New Roman" w:eastAsia="宋体" w:cs="宋体"/>
          <w:color w:val="auto"/>
          <w:sz w:val="24"/>
          <w:shd w:val="clear" w:color="auto" w:fill="FFFFFF"/>
        </w:rPr>
        <w:t>资产总额</w:t>
      </w:r>
      <w:r>
        <w:rPr>
          <w:rStyle w:val="10"/>
          <w:rFonts w:hint="eastAsia" w:ascii="Times New Roman" w:hAnsi="Times New Roman" w:eastAsia="宋体" w:cs="宋体"/>
          <w:color w:val="auto"/>
          <w:sz w:val="24"/>
          <w:shd w:val="clear" w:color="auto" w:fill="FFFFFF"/>
        </w:rPr>
        <w:fldChar w:fldCharType="end"/>
      </w:r>
      <w:r>
        <w:rPr>
          <w:rFonts w:ascii="Times New Roman" w:hAnsi="Times New Roman" w:eastAsia="宋体" w:cs="Times New Roman"/>
          <w:kern w:val="0"/>
          <w:sz w:val="24"/>
          <w:shd w:val="clear" w:color="auto" w:fill="FFFFFF"/>
        </w:rPr>
        <w:t>×100%</w:t>
      </w:r>
      <w:r>
        <w:rPr>
          <w:rFonts w:hint="eastAsia" w:ascii="Times New Roman" w:hAnsi="Times New Roman" w:eastAsia="宋体" w:cs="宋体"/>
          <w:kern w:val="0"/>
          <w:sz w:val="24"/>
          <w:shd w:val="clear" w:color="auto" w:fill="FFFFFF"/>
        </w:rPr>
        <w:t>。</w:t>
      </w:r>
    </w:p>
    <w:p>
      <w:pPr>
        <w:widowControl/>
        <w:spacing w:line="360" w:lineRule="auto"/>
        <w:jc w:val="left"/>
        <w:rPr>
          <w:sz w:val="24"/>
        </w:rPr>
      </w:pPr>
      <w:r>
        <w:rPr>
          <w:rFonts w:ascii="Times New Roman" w:hAnsi="Times New Roman" w:eastAsia="宋体" w:cs="Times New Roman"/>
          <w:kern w:val="0"/>
          <w:sz w:val="24"/>
          <w:shd w:val="clear" w:color="auto" w:fill="FFFFFF"/>
        </w:rPr>
        <w:t>4</w:t>
      </w:r>
      <w:r>
        <w:rPr>
          <w:rFonts w:hint="eastAsia" w:ascii="Times New Roman" w:hAnsi="Times New Roman" w:eastAsia="宋体" w:cs="宋体"/>
          <w:kern w:val="0"/>
          <w:sz w:val="24"/>
          <w:shd w:val="clear" w:color="auto" w:fill="FFFFFF"/>
        </w:rPr>
        <w:t>、速动比率</w:t>
      </w:r>
      <w:r>
        <w:rPr>
          <w:rFonts w:ascii="Times New Roman" w:hAnsi="Times New Roman" w:eastAsia="宋体" w:cs="Times New Roman"/>
          <w:kern w:val="0"/>
          <w:sz w:val="24"/>
          <w:shd w:val="clear" w:color="auto" w:fill="FFFFFF"/>
        </w:rPr>
        <w:t>=</w:t>
      </w:r>
      <w:r>
        <w:rPr>
          <w:rFonts w:hint="eastAsia" w:ascii="Times New Roman" w:hAnsi="Times New Roman" w:eastAsia="宋体" w:cs="宋体"/>
          <w:kern w:val="0"/>
          <w:sz w:val="24"/>
          <w:shd w:val="clear" w:color="auto" w:fill="FFFFFF"/>
        </w:rPr>
        <w:t>（流动资产</w:t>
      </w:r>
      <w:r>
        <w:rPr>
          <w:rFonts w:ascii="Times New Roman" w:hAnsi="Times New Roman" w:eastAsia="宋体" w:cs="Times New Roman"/>
          <w:kern w:val="0"/>
          <w:sz w:val="24"/>
          <w:shd w:val="clear" w:color="auto" w:fill="FFFFFF"/>
        </w:rPr>
        <w:t>-</w:t>
      </w:r>
      <w:r>
        <w:rPr>
          <w:rFonts w:hint="eastAsia" w:ascii="Times New Roman" w:hAnsi="Times New Roman" w:eastAsia="宋体" w:cs="宋体"/>
          <w:kern w:val="0"/>
          <w:sz w:val="24"/>
          <w:shd w:val="clear" w:color="auto" w:fill="FFFFFF"/>
        </w:rPr>
        <w:t>存货）</w:t>
      </w:r>
      <w:r>
        <w:rPr>
          <w:rFonts w:ascii="Times New Roman" w:hAnsi="Times New Roman" w:eastAsia="宋体" w:cs="Times New Roman"/>
          <w:kern w:val="0"/>
          <w:sz w:val="24"/>
          <w:shd w:val="clear" w:color="auto" w:fill="FFFFFF"/>
        </w:rPr>
        <w:t>/</w:t>
      </w:r>
      <w:r>
        <w:fldChar w:fldCharType="begin"/>
      </w:r>
      <w:r>
        <w:instrText xml:space="preserve"> HYPERLINK "http://baike.baidu.com/view/136514.htm" \t "http://www.gzggzy.cn/cms/wz/view/index/layout3/_blank" </w:instrText>
      </w:r>
      <w:r>
        <w:fldChar w:fldCharType="separate"/>
      </w:r>
      <w:r>
        <w:rPr>
          <w:rStyle w:val="10"/>
          <w:rFonts w:hint="eastAsia" w:ascii="Times New Roman" w:hAnsi="Times New Roman" w:eastAsia="宋体" w:cs="宋体"/>
          <w:color w:val="auto"/>
          <w:sz w:val="24"/>
          <w:shd w:val="clear" w:color="auto" w:fill="FFFFFF"/>
        </w:rPr>
        <w:t>流动负债</w:t>
      </w:r>
      <w:r>
        <w:rPr>
          <w:rStyle w:val="10"/>
          <w:rFonts w:hint="eastAsia" w:ascii="Times New Roman" w:hAnsi="Times New Roman" w:eastAsia="宋体" w:cs="宋体"/>
          <w:color w:val="auto"/>
          <w:sz w:val="24"/>
          <w:shd w:val="clear" w:color="auto" w:fill="FFFFFF"/>
        </w:rPr>
        <w:fldChar w:fldCharType="end"/>
      </w:r>
      <w:r>
        <w:rPr>
          <w:rFonts w:hint="eastAsia" w:ascii="Times New Roman" w:hAnsi="Times New Roman" w:eastAsia="宋体" w:cs="宋体"/>
          <w:kern w:val="0"/>
          <w:sz w:val="24"/>
          <w:shd w:val="clear" w:color="auto" w:fill="FFFFFF"/>
        </w:rPr>
        <w:t>。</w:t>
      </w:r>
    </w:p>
    <w:p>
      <w:pPr>
        <w:widowControl/>
        <w:spacing w:line="360" w:lineRule="auto"/>
        <w:jc w:val="left"/>
        <w:rPr>
          <w:rFonts w:ascii="宋体" w:hAnsi="Times New Roman" w:eastAsia="宋体" w:cs="宋体"/>
          <w:kern w:val="0"/>
          <w:sz w:val="24"/>
          <w:shd w:val="clear" w:color="auto" w:fill="FFFFFF"/>
          <w:lang w:val="zh-CN"/>
        </w:rPr>
      </w:pPr>
      <w:r>
        <w:rPr>
          <w:rFonts w:ascii="Times New Roman" w:hAnsi="Times New Roman" w:eastAsia="宋体" w:cs="Times New Roman"/>
          <w:kern w:val="0"/>
          <w:sz w:val="24"/>
          <w:shd w:val="clear" w:color="auto" w:fill="FFFFFF"/>
        </w:rPr>
        <w:t>5</w:t>
      </w:r>
      <w:r>
        <w:rPr>
          <w:rFonts w:hint="eastAsia" w:ascii="宋体" w:hAnsi="宋体" w:eastAsia="宋体" w:cs="宋体"/>
          <w:kern w:val="0"/>
          <w:sz w:val="24"/>
          <w:shd w:val="clear" w:color="auto" w:fill="FFFFFF"/>
        </w:rPr>
        <w:t>、供应品牌保证资料需提供生产商出具的证明，并提供联系方式、地址核实。</w:t>
      </w:r>
    </w:p>
    <w:p>
      <w:pPr>
        <w:widowControl/>
        <w:spacing w:line="360" w:lineRule="auto"/>
        <w:jc w:val="left"/>
        <w:rPr>
          <w:rFonts w:ascii="宋体" w:hAnsi="宋体" w:eastAsia="宋体" w:cs="宋体"/>
          <w:sz w:val="24"/>
          <w:shd w:val="clear" w:color="auto" w:fill="FFFFFF"/>
        </w:rPr>
      </w:pPr>
      <w:r>
        <w:rPr>
          <w:rFonts w:ascii="Times New Roman" w:hAnsi="Times New Roman" w:eastAsia="宋体" w:cs="Times New Roman"/>
          <w:kern w:val="0"/>
          <w:sz w:val="24"/>
          <w:shd w:val="clear" w:color="auto" w:fill="FFFFFF"/>
        </w:rPr>
        <w:t>6</w:t>
      </w:r>
      <w:r>
        <w:rPr>
          <w:rFonts w:hint="eastAsia" w:ascii="Times New Roman" w:hAnsi="Times New Roman" w:eastAsia="宋体" w:cs="宋体"/>
          <w:kern w:val="0"/>
          <w:sz w:val="24"/>
          <w:shd w:val="clear" w:color="auto" w:fill="FFFFFF"/>
        </w:rPr>
        <w:t>、</w:t>
      </w:r>
      <w:r>
        <w:rPr>
          <w:rFonts w:hint="eastAsia" w:ascii="宋体" w:hAnsi="宋体" w:eastAsia="宋体" w:cs="宋体"/>
          <w:kern w:val="0"/>
          <w:sz w:val="24"/>
          <w:shd w:val="clear" w:color="auto" w:fill="FFFFFF"/>
        </w:rPr>
        <w:t>如申请资料与原件核实不一致，按照提供虚假投标资料处理。</w:t>
      </w:r>
    </w:p>
    <w:p>
      <w:pPr>
        <w:widowControl/>
        <w:spacing w:line="360" w:lineRule="auto"/>
        <w:jc w:val="left"/>
        <w:rPr>
          <w:rFonts w:ascii="宋体" w:hAnsi="宋体" w:eastAsia="宋体" w:cs="宋体"/>
          <w:kern w:val="0"/>
          <w:sz w:val="24"/>
          <w:shd w:val="clear" w:color="auto" w:fill="FFFFFF"/>
        </w:rPr>
        <w:sectPr>
          <w:pgSz w:w="12242" w:h="15842"/>
          <w:pgMar w:top="1440" w:right="1800" w:bottom="1440" w:left="1800" w:header="851" w:footer="992" w:gutter="0"/>
          <w:pgNumType w:fmt="decimal"/>
          <w:cols w:space="425" w:num="1"/>
          <w:docGrid w:type="linesAndChars" w:linePitch="312" w:charSpace="0"/>
        </w:sectPr>
      </w:pPr>
      <w:r>
        <w:rPr>
          <w:rFonts w:hint="eastAsia" w:ascii="宋体" w:hAnsi="宋体" w:eastAsia="宋体" w:cs="宋体"/>
          <w:kern w:val="0"/>
          <w:sz w:val="24"/>
          <w:shd w:val="clear" w:color="auto" w:fill="FFFFFF"/>
        </w:rPr>
        <w:t>7、同类工程是指房屋建筑工程或市政公用工程。</w:t>
      </w:r>
    </w:p>
    <w:p>
      <w:pPr>
        <w:widowControl/>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附件二：</w:t>
      </w:r>
    </w:p>
    <w:p>
      <w:pPr>
        <w:widowControl/>
        <w:spacing w:line="360" w:lineRule="auto"/>
        <w:jc w:val="center"/>
        <w:rPr>
          <w:rFonts w:hint="default" w:ascii="仿宋_GB2312" w:eastAsia="仿宋_GB2312" w:cs="仿宋_GB2312"/>
          <w:b/>
          <w:bCs/>
          <w:sz w:val="24"/>
          <w:szCs w:val="24"/>
          <w:shd w:val="clear" w:color="auto" w:fill="FFFFFF"/>
        </w:rPr>
      </w:pPr>
      <w:r>
        <w:rPr>
          <w:rFonts w:hint="default" w:ascii="仿宋_GB2312" w:eastAsia="仿宋_GB2312" w:cs="仿宋_GB2312"/>
          <w:b/>
          <w:bCs/>
          <w:sz w:val="24"/>
          <w:szCs w:val="24"/>
          <w:shd w:val="clear" w:color="auto" w:fill="FFFFFF"/>
        </w:rPr>
        <w:t>申请人报名提交资料一览表</w:t>
      </w:r>
    </w:p>
    <w:p>
      <w:pPr>
        <w:widowControl/>
        <w:spacing w:line="360" w:lineRule="auto"/>
        <w:jc w:val="left"/>
        <w:rPr>
          <w:rFonts w:hint="eastAsia" w:ascii="宋体" w:hAnsi="宋体" w:eastAsia="仿宋_GB2312" w:cs="宋体"/>
          <w:kern w:val="0"/>
          <w:sz w:val="24"/>
          <w:shd w:val="clear" w:color="auto" w:fill="FFFFFF"/>
        </w:rPr>
      </w:pPr>
      <w:r>
        <w:rPr>
          <w:rFonts w:ascii="宋体" w:hAnsi="宋体" w:eastAsia="仿宋_GB2312" w:cs="宋体"/>
          <w:kern w:val="0"/>
          <w:sz w:val="24"/>
          <w:shd w:val="clear" w:color="auto" w:fill="FFFFFF"/>
        </w:rPr>
        <w:t>工程名称：</w:t>
      </w:r>
      <w:r>
        <w:rPr>
          <w:rFonts w:hint="eastAsia" w:ascii="宋体" w:hAnsi="宋体" w:eastAsia="仿宋_GB2312" w:cs="宋体"/>
          <w:kern w:val="0"/>
          <w:sz w:val="24"/>
          <w:shd w:val="clear" w:color="auto" w:fill="FFFFFF"/>
        </w:rPr>
        <w:t>广东一新长城建筑集团有限公司</w:t>
      </w:r>
      <w:r>
        <w:rPr>
          <w:rFonts w:ascii="宋体" w:hAnsi="宋体" w:eastAsia="仿宋_GB2312" w:cs="宋体"/>
          <w:kern w:val="0"/>
          <w:sz w:val="24"/>
          <w:shd w:val="clear" w:color="auto" w:fill="FFFFFF"/>
        </w:rPr>
        <w:t>钢筋</w:t>
      </w:r>
      <w:r>
        <w:rPr>
          <w:rFonts w:hint="eastAsia" w:ascii="宋体" w:hAnsi="宋体" w:eastAsia="仿宋_GB2312" w:cs="宋体"/>
          <w:kern w:val="0"/>
          <w:sz w:val="24"/>
          <w:shd w:val="clear" w:color="auto" w:fill="FFFFFF"/>
          <w:lang w:eastAsia="zh-CN"/>
        </w:rPr>
        <w:t>、混凝土</w:t>
      </w:r>
      <w:r>
        <w:rPr>
          <w:rFonts w:ascii="宋体" w:hAnsi="宋体" w:eastAsia="仿宋_GB2312" w:cs="宋体"/>
          <w:kern w:val="0"/>
          <w:sz w:val="24"/>
          <w:shd w:val="clear" w:color="auto" w:fill="FFFFFF"/>
        </w:rPr>
        <w:t>材料采购类合格供应商企业库建库项目</w:t>
      </w:r>
      <w:r>
        <w:rPr>
          <w:rFonts w:hint="eastAsia" w:ascii="宋体" w:hAnsi="宋体" w:eastAsia="仿宋_GB2312" w:cs="宋体"/>
          <w:kern w:val="0"/>
          <w:sz w:val="24"/>
          <w:shd w:val="clear" w:color="auto" w:fill="FFFFFF"/>
          <w:lang w:eastAsia="zh-CN"/>
        </w:rPr>
        <w:t>（</w:t>
      </w:r>
      <w:r>
        <w:rPr>
          <w:rFonts w:hint="eastAsia" w:ascii="宋体" w:hAnsi="宋体" w:eastAsia="仿宋_GB2312" w:cs="宋体"/>
          <w:kern w:val="0"/>
          <w:sz w:val="24"/>
          <w:shd w:val="clear" w:color="auto" w:fill="FFFFFF"/>
          <w:lang w:val="en-US" w:eastAsia="zh-CN"/>
        </w:rPr>
        <w:t>第二次</w:t>
      </w:r>
      <w:r>
        <w:rPr>
          <w:rFonts w:hint="eastAsia" w:ascii="宋体" w:hAnsi="宋体" w:eastAsia="仿宋_GB2312" w:cs="宋体"/>
          <w:kern w:val="0"/>
          <w:sz w:val="24"/>
          <w:shd w:val="clear" w:color="auto" w:fill="FFFFFF"/>
          <w:lang w:eastAsia="zh-CN"/>
        </w:rPr>
        <w:t>）</w:t>
      </w:r>
      <w:r>
        <w:rPr>
          <w:rFonts w:hint="eastAsia" w:ascii="宋体" w:hAnsi="宋体" w:eastAsia="仿宋_GB2312" w:cs="宋体"/>
          <w:kern w:val="0"/>
          <w:sz w:val="24"/>
          <w:shd w:val="clear" w:color="auto" w:fill="FFFFFF"/>
        </w:rPr>
        <w:t>       </w:t>
      </w:r>
    </w:p>
    <w:p>
      <w:pPr>
        <w:widowControl/>
        <w:spacing w:beforeAutospacing="1" w:afterAutospacing="1" w:line="360" w:lineRule="auto"/>
        <w:jc w:val="right"/>
        <w:rPr>
          <w:rFonts w:ascii="仿宋_GB2312" w:hAnsi="宋体" w:eastAsia="仿宋_GB2312" w:cs="宋体"/>
          <w:kern w:val="0"/>
          <w:sz w:val="24"/>
          <w:shd w:val="clear" w:color="auto" w:fill="FFFFFF"/>
        </w:rPr>
      </w:pPr>
      <w:r>
        <w:rPr>
          <w:rFonts w:hint="eastAsia" w:ascii="宋体" w:hAnsi="宋体" w:eastAsia="仿宋_GB2312" w:cs="宋体"/>
          <w:kern w:val="0"/>
          <w:sz w:val="24"/>
          <w:shd w:val="clear" w:color="auto" w:fill="FFFFFF"/>
        </w:rPr>
        <w:t>  </w:t>
      </w:r>
      <w:r>
        <w:rPr>
          <w:rFonts w:ascii="仿宋_GB2312" w:hAnsi="宋体" w:eastAsia="仿宋_GB2312" w:cs="宋体"/>
          <w:kern w:val="0"/>
          <w:sz w:val="24"/>
          <w:shd w:val="clear" w:color="auto" w:fill="FFFFFF"/>
        </w:rPr>
        <w:t>投标单位（盖章）</w:t>
      </w:r>
    </w:p>
    <w:tbl>
      <w:tblPr>
        <w:tblStyle w:val="7"/>
        <w:tblW w:w="10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8"/>
        <w:gridCol w:w="4612"/>
        <w:gridCol w:w="914"/>
        <w:gridCol w:w="1589"/>
        <w:gridCol w:w="2266"/>
        <w:gridCol w:w="828"/>
        <w:gridCol w:w="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0" w:hRule="atLeast"/>
          <w:jc w:val="center"/>
        </w:trPr>
        <w:tc>
          <w:tcPr>
            <w:tcW w:w="1088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left"/>
              <w:rPr>
                <w:rFonts w:ascii="仿宋_GB2312" w:hAnsi="宋体" w:eastAsia="仿宋_GB2312" w:cs="宋体"/>
                <w:bCs/>
                <w:kern w:val="0"/>
                <w:sz w:val="24"/>
              </w:rPr>
            </w:pPr>
            <w:r>
              <w:rPr>
                <w:rFonts w:ascii="仿宋_GB2312" w:hAnsi="宋体" w:eastAsia="仿宋_GB2312" w:cs="宋体"/>
                <w:bCs/>
                <w:kern w:val="0"/>
                <w:sz w:val="24"/>
              </w:rPr>
              <w:t>审核确认：招标人接收资料人员与申请人代表对以下报名资料共同核对，审核情况属实。</w:t>
            </w:r>
          </w:p>
          <w:p>
            <w:pPr>
              <w:widowControl/>
              <w:adjustRightInd w:val="0"/>
              <w:snapToGrid w:val="0"/>
              <w:spacing w:line="360" w:lineRule="auto"/>
              <w:jc w:val="left"/>
              <w:rPr>
                <w:rFonts w:ascii="仿宋_GB2312" w:hAnsi="宋体" w:eastAsia="仿宋_GB2312" w:cs="宋体"/>
                <w:bCs/>
                <w:kern w:val="0"/>
                <w:sz w:val="24"/>
              </w:rPr>
            </w:pPr>
            <w:r>
              <w:rPr>
                <w:rFonts w:ascii="仿宋_GB2312" w:hAnsi="宋体" w:eastAsia="仿宋_GB2312" w:cs="宋体"/>
                <w:bCs/>
                <w:kern w:val="0"/>
                <w:sz w:val="24"/>
              </w:rPr>
              <w:t>招标人接收资料人员签名：</w:t>
            </w:r>
          </w:p>
          <w:p>
            <w:pPr>
              <w:widowControl/>
              <w:adjustRightInd w:val="0"/>
              <w:snapToGrid w:val="0"/>
              <w:spacing w:line="360" w:lineRule="auto"/>
              <w:jc w:val="left"/>
              <w:rPr>
                <w:rFonts w:ascii="仿宋_GB2312" w:hAnsi="宋体" w:eastAsia="仿宋_GB2312" w:cs="宋体"/>
                <w:bCs/>
                <w:kern w:val="0"/>
                <w:sz w:val="24"/>
              </w:rPr>
            </w:pPr>
            <w:r>
              <w:rPr>
                <w:rFonts w:ascii="仿宋_GB2312" w:hAnsi="宋体" w:eastAsia="仿宋_GB2312" w:cs="宋体"/>
                <w:bCs/>
                <w:kern w:val="0"/>
                <w:sz w:val="24"/>
              </w:rPr>
              <w:t>申请人的代表签名：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9" w:type="dxa"/>
          <w:cantSplit/>
          <w:trHeight w:val="404" w:hRule="atLeast"/>
          <w:jc w:val="center"/>
        </w:trPr>
        <w:tc>
          <w:tcPr>
            <w:tcW w:w="6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ind w:left="-106" w:right="-107" w:hanging="1"/>
              <w:jc w:val="center"/>
              <w:rPr>
                <w:rFonts w:ascii="仿宋_GB2312" w:hAnsi="宋体" w:eastAsia="仿宋_GB2312" w:cs="宋体"/>
                <w:kern w:val="0"/>
                <w:sz w:val="24"/>
              </w:rPr>
            </w:pPr>
            <w:r>
              <w:rPr>
                <w:rFonts w:ascii="仿宋_GB2312" w:hAnsi="宋体" w:eastAsia="仿宋_GB2312" w:cs="宋体"/>
                <w:bCs/>
                <w:kern w:val="0"/>
                <w:sz w:val="24"/>
              </w:rPr>
              <w:t>序号</w:t>
            </w:r>
          </w:p>
        </w:tc>
        <w:tc>
          <w:tcPr>
            <w:tcW w:w="461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ind w:left="-106" w:right="-107" w:hanging="1"/>
              <w:jc w:val="center"/>
              <w:rPr>
                <w:rFonts w:ascii="仿宋_GB2312" w:hAnsi="宋体" w:eastAsia="仿宋_GB2312" w:cs="宋体"/>
                <w:bCs/>
                <w:kern w:val="0"/>
                <w:sz w:val="24"/>
              </w:rPr>
            </w:pPr>
            <w:r>
              <w:rPr>
                <w:rFonts w:ascii="仿宋_GB2312" w:hAnsi="宋体" w:eastAsia="仿宋_GB2312" w:cs="宋体"/>
                <w:bCs/>
                <w:kern w:val="0"/>
                <w:sz w:val="24"/>
              </w:rPr>
              <w:t>项目</w:t>
            </w:r>
          </w:p>
        </w:tc>
        <w:tc>
          <w:tcPr>
            <w:tcW w:w="91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ind w:left="-106" w:right="-107" w:hanging="1"/>
              <w:jc w:val="center"/>
              <w:rPr>
                <w:rFonts w:ascii="仿宋_GB2312" w:hAnsi="宋体" w:eastAsia="仿宋_GB2312" w:cs="宋体"/>
                <w:bCs/>
                <w:kern w:val="0"/>
                <w:sz w:val="24"/>
              </w:rPr>
            </w:pPr>
            <w:r>
              <w:rPr>
                <w:rFonts w:ascii="仿宋_GB2312" w:hAnsi="宋体" w:eastAsia="仿宋_GB2312" w:cs="宋体"/>
                <w:bCs/>
                <w:kern w:val="0"/>
                <w:sz w:val="24"/>
              </w:rPr>
              <w:t>内页码</w:t>
            </w:r>
          </w:p>
        </w:tc>
        <w:tc>
          <w:tcPr>
            <w:tcW w:w="158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ind w:left="-106" w:right="-107" w:hanging="1"/>
              <w:jc w:val="center"/>
              <w:rPr>
                <w:rFonts w:ascii="仿宋_GB2312" w:hAnsi="宋体" w:eastAsia="仿宋_GB2312" w:cs="宋体"/>
                <w:bCs/>
                <w:kern w:val="0"/>
                <w:sz w:val="24"/>
              </w:rPr>
            </w:pPr>
            <w:r>
              <w:rPr>
                <w:rFonts w:ascii="仿宋_GB2312" w:hAnsi="宋体" w:eastAsia="仿宋_GB2312" w:cs="宋体"/>
                <w:bCs/>
                <w:kern w:val="0"/>
                <w:sz w:val="24"/>
              </w:rPr>
              <w:t>报名提交</w:t>
            </w:r>
          </w:p>
          <w:p>
            <w:pPr>
              <w:widowControl/>
              <w:adjustRightInd w:val="0"/>
              <w:snapToGrid w:val="0"/>
              <w:spacing w:line="360" w:lineRule="auto"/>
              <w:ind w:left="-106" w:right="-107" w:hanging="1"/>
              <w:jc w:val="center"/>
              <w:rPr>
                <w:rFonts w:ascii="仿宋_GB2312" w:hAnsi="宋体" w:eastAsia="仿宋_GB2312" w:cs="宋体"/>
                <w:bCs/>
                <w:kern w:val="0"/>
                <w:sz w:val="24"/>
              </w:rPr>
            </w:pPr>
            <w:r>
              <w:rPr>
                <w:rFonts w:ascii="仿宋_GB2312" w:hAnsi="宋体" w:eastAsia="仿宋_GB2312" w:cs="宋体"/>
                <w:bCs/>
                <w:kern w:val="0"/>
                <w:sz w:val="24"/>
              </w:rPr>
              <w:t>资料要求</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审核情况</w:t>
            </w:r>
          </w:p>
        </w:tc>
        <w:tc>
          <w:tcPr>
            <w:tcW w:w="8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9" w:type="dxa"/>
          <w:cantSplit/>
          <w:trHeight w:val="422" w:hRule="atLeast"/>
          <w:jc w:val="center"/>
        </w:trPr>
        <w:tc>
          <w:tcPr>
            <w:tcW w:w="65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sz w:val="24"/>
              </w:rPr>
            </w:pPr>
          </w:p>
        </w:tc>
        <w:tc>
          <w:tcPr>
            <w:tcW w:w="461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sz w:val="24"/>
              </w:rPr>
            </w:pPr>
          </w:p>
        </w:tc>
        <w:tc>
          <w:tcPr>
            <w:tcW w:w="91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sz w:val="24"/>
              </w:rPr>
            </w:pPr>
          </w:p>
        </w:tc>
        <w:tc>
          <w:tcPr>
            <w:tcW w:w="15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sz w:val="24"/>
              </w:rPr>
            </w:pP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ind w:left="-107" w:right="-107"/>
              <w:jc w:val="center"/>
              <w:rPr>
                <w:rFonts w:ascii="仿宋_GB2312" w:hAnsi="宋体" w:eastAsia="仿宋_GB2312" w:cs="宋体"/>
                <w:bCs/>
                <w:kern w:val="0"/>
                <w:sz w:val="24"/>
              </w:rPr>
            </w:pPr>
            <w:r>
              <w:rPr>
                <w:rFonts w:ascii="仿宋_GB2312" w:hAnsi="宋体" w:eastAsia="仿宋_GB2312" w:cs="宋体"/>
                <w:bCs/>
                <w:kern w:val="0"/>
                <w:sz w:val="24"/>
              </w:rPr>
              <w:t>(此栏不需申请人填写)</w:t>
            </w:r>
          </w:p>
        </w:tc>
        <w:tc>
          <w:tcPr>
            <w:tcW w:w="8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9" w:type="dxa"/>
          <w:cantSplit/>
          <w:trHeight w:val="219" w:hRule="atLeast"/>
          <w:jc w:val="center"/>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420"/>
              </w:tabs>
              <w:adjustRightInd w:val="0"/>
              <w:snapToGrid w:val="0"/>
              <w:spacing w:line="360" w:lineRule="auto"/>
              <w:ind w:left="420" w:hanging="420"/>
              <w:jc w:val="center"/>
              <w:rPr>
                <w:rFonts w:hint="eastAsia" w:ascii="仿宋_GB2312" w:hAnsi="宋体" w:eastAsia="仿宋_GB2312" w:cs="宋体"/>
                <w:kern w:val="0"/>
                <w:sz w:val="24"/>
                <w:lang w:eastAsia="zh-CN"/>
              </w:rPr>
            </w:pPr>
            <w:r>
              <w:rPr>
                <w:rFonts w:hint="eastAsia" w:ascii="仿宋_GB2312" w:hAnsi="宋体" w:eastAsia="仿宋_GB2312" w:cs="宋体"/>
                <w:kern w:val="0"/>
                <w:sz w:val="24"/>
                <w:lang w:val="en-US" w:eastAsia="zh-CN"/>
              </w:rPr>
              <w:t>1</w:t>
            </w:r>
          </w:p>
        </w:tc>
        <w:tc>
          <w:tcPr>
            <w:tcW w:w="46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kern w:val="0"/>
                <w:sz w:val="24"/>
              </w:rPr>
              <w:t>企业法定代表人证明书</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9" w:type="dxa"/>
          <w:cantSplit/>
          <w:trHeight w:val="501" w:hRule="atLeast"/>
          <w:jc w:val="center"/>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420"/>
              </w:tabs>
              <w:adjustRightInd w:val="0"/>
              <w:snapToGrid w:val="0"/>
              <w:spacing w:line="360" w:lineRule="auto"/>
              <w:ind w:left="420" w:hanging="420"/>
              <w:jc w:val="center"/>
              <w:rPr>
                <w:rFonts w:hint="eastAsia" w:ascii="仿宋_GB2312" w:hAnsi="宋体" w:eastAsia="仿宋_GB2312" w:cs="宋体"/>
                <w:kern w:val="0"/>
                <w:sz w:val="24"/>
                <w:lang w:eastAsia="zh-CN"/>
              </w:rPr>
            </w:pPr>
            <w:r>
              <w:rPr>
                <w:rFonts w:hint="eastAsia" w:ascii="仿宋_GB2312" w:hAnsi="宋体" w:eastAsia="仿宋_GB2312" w:cs="宋体"/>
                <w:kern w:val="0"/>
                <w:sz w:val="24"/>
                <w:lang w:val="en-US" w:eastAsia="zh-CN"/>
              </w:rPr>
              <w:t>2</w:t>
            </w:r>
          </w:p>
        </w:tc>
        <w:tc>
          <w:tcPr>
            <w:tcW w:w="46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kern w:val="0"/>
                <w:sz w:val="24"/>
              </w:rPr>
            </w:pPr>
            <w:r>
              <w:rPr>
                <w:rFonts w:ascii="仿宋_GB2312" w:hAnsi="宋体" w:eastAsia="仿宋_GB2312" w:cs="宋体"/>
                <w:kern w:val="0"/>
                <w:sz w:val="24"/>
              </w:rPr>
              <w:t>申请人代表的法定代表人授权委托书</w:t>
            </w:r>
          </w:p>
          <w:p>
            <w:pPr>
              <w:widowControl/>
              <w:adjustRightInd w:val="0"/>
              <w:snapToGrid w:val="0"/>
              <w:spacing w:line="360" w:lineRule="auto"/>
              <w:jc w:val="center"/>
              <w:rPr>
                <w:rFonts w:ascii="仿宋_GB2312" w:hAnsi="宋体" w:eastAsia="仿宋_GB2312" w:cs="宋体"/>
                <w:kern w:val="0"/>
                <w:sz w:val="24"/>
              </w:rPr>
            </w:pPr>
            <w:r>
              <w:rPr>
                <w:rFonts w:ascii="仿宋_GB2312" w:hAnsi="宋体" w:eastAsia="仿宋_GB2312" w:cs="宋体"/>
                <w:kern w:val="0"/>
                <w:sz w:val="24"/>
              </w:rPr>
              <w:t>（如果法定代表人亲自签署资格审查文件，则只须提交法定代表人证明书）</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9" w:type="dxa"/>
          <w:cantSplit/>
          <w:trHeight w:val="184" w:hRule="atLeast"/>
          <w:jc w:val="center"/>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420"/>
              </w:tabs>
              <w:adjustRightInd w:val="0"/>
              <w:snapToGrid w:val="0"/>
              <w:spacing w:line="360" w:lineRule="auto"/>
              <w:ind w:left="420" w:hanging="420"/>
              <w:jc w:val="center"/>
              <w:rPr>
                <w:rFonts w:hint="eastAsia" w:ascii="仿宋_GB2312" w:hAnsi="宋体" w:eastAsia="仿宋_GB2312" w:cs="宋体"/>
                <w:kern w:val="0"/>
                <w:sz w:val="24"/>
                <w:lang w:eastAsia="zh-CN"/>
              </w:rPr>
            </w:pPr>
            <w:r>
              <w:rPr>
                <w:rFonts w:hint="eastAsia" w:ascii="仿宋_GB2312" w:hAnsi="宋体" w:eastAsia="仿宋_GB2312" w:cs="宋体"/>
                <w:kern w:val="0"/>
                <w:sz w:val="24"/>
                <w:lang w:val="en-US" w:eastAsia="zh-CN"/>
              </w:rPr>
              <w:t>3</w:t>
            </w:r>
          </w:p>
        </w:tc>
        <w:tc>
          <w:tcPr>
            <w:tcW w:w="46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kern w:val="0"/>
                <w:sz w:val="24"/>
              </w:rPr>
              <w:t>企业营业执照副本</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原件备查</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9" w:type="dxa"/>
          <w:cantSplit/>
          <w:trHeight w:val="514" w:hRule="atLeast"/>
          <w:jc w:val="center"/>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420"/>
              </w:tabs>
              <w:adjustRightInd w:val="0"/>
              <w:snapToGrid w:val="0"/>
              <w:spacing w:line="360" w:lineRule="auto"/>
              <w:ind w:left="420" w:hanging="420"/>
              <w:jc w:val="center"/>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val="en-US" w:eastAsia="zh-CN"/>
              </w:rPr>
              <w:t>4</w:t>
            </w:r>
          </w:p>
        </w:tc>
        <w:tc>
          <w:tcPr>
            <w:tcW w:w="46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kern w:val="0"/>
                <w:sz w:val="24"/>
              </w:rPr>
            </w:pPr>
            <w:r>
              <w:rPr>
                <w:rFonts w:ascii="仿宋_GB2312" w:hAnsi="宋体" w:eastAsia="仿宋_GB2312" w:cs="宋体"/>
                <w:kern w:val="0"/>
                <w:sz w:val="24"/>
                <w:shd w:val="clear" w:color="auto" w:fill="FFFFFF"/>
                <w:lang w:bidi="ar"/>
              </w:rPr>
              <w:t>申请人必须是拟供应货物的生产商或生产商授权参加本次申请的授权代理商。</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9" w:type="dxa"/>
          <w:cantSplit/>
          <w:trHeight w:val="558" w:hRule="atLeast"/>
          <w:jc w:val="center"/>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420"/>
              </w:tabs>
              <w:adjustRightInd w:val="0"/>
              <w:snapToGrid w:val="0"/>
              <w:spacing w:line="360" w:lineRule="auto"/>
              <w:ind w:left="420" w:hanging="420"/>
              <w:jc w:val="center"/>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val="en-US" w:eastAsia="zh-CN"/>
              </w:rPr>
              <w:t>5</w:t>
            </w:r>
          </w:p>
        </w:tc>
        <w:tc>
          <w:tcPr>
            <w:tcW w:w="46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line="360" w:lineRule="auto"/>
              <w:ind w:firstLine="436" w:firstLineChars="182"/>
              <w:jc w:val="left"/>
              <w:rPr>
                <w:rFonts w:ascii="仿宋_GB2312" w:hAnsi="宋体" w:eastAsia="仿宋_GB2312" w:cs="宋体"/>
                <w:kern w:val="0"/>
                <w:sz w:val="24"/>
                <w:shd w:val="clear" w:color="auto" w:fill="FFFFFF"/>
                <w:lang w:bidi="ar"/>
              </w:rPr>
            </w:pPr>
            <w:r>
              <w:rPr>
                <w:rFonts w:ascii="仿宋_GB2312" w:hAnsi="宋体" w:eastAsia="仿宋_GB2312" w:cs="宋体"/>
                <w:kern w:val="0"/>
                <w:sz w:val="24"/>
                <w:shd w:val="clear" w:color="auto" w:fill="FFFFFF"/>
                <w:lang w:bidi="ar"/>
              </w:rPr>
              <w:t>申请人须提供</w:t>
            </w:r>
            <w:r>
              <w:rPr>
                <w:rFonts w:hint="eastAsia" w:ascii="仿宋_GB2312" w:hAnsi="宋体" w:eastAsia="仿宋_GB2312" w:cs="宋体"/>
                <w:kern w:val="0"/>
                <w:sz w:val="24"/>
                <w:shd w:val="clear" w:color="auto" w:fill="FFFFFF"/>
                <w:lang w:bidi="ar"/>
              </w:rPr>
              <w:t>不少于</w:t>
            </w:r>
            <w:r>
              <w:rPr>
                <w:rFonts w:ascii="仿宋_GB2312" w:hAnsi="宋体" w:eastAsia="仿宋_GB2312" w:cs="宋体"/>
                <w:kern w:val="0"/>
                <w:sz w:val="24"/>
                <w:shd w:val="clear" w:color="auto" w:fill="FFFFFF"/>
                <w:lang w:bidi="ar"/>
              </w:rPr>
              <w:t>一家钢筋品牌作为拟供应材料主要供应品牌。生产商需提供所生产产品作为主要供应品牌的承诺函。</w:t>
            </w:r>
            <w:r>
              <w:rPr>
                <w:rFonts w:hint="eastAsia" w:ascii="仿宋_GB2312" w:hAnsi="宋体" w:eastAsia="仿宋_GB2312" w:cs="宋体"/>
                <w:b/>
                <w:bCs/>
                <w:kern w:val="0"/>
                <w:sz w:val="24"/>
                <w:shd w:val="clear" w:color="auto" w:fill="FFFFFF"/>
                <w:lang w:bidi="ar"/>
              </w:rPr>
              <w:t xml:space="preserve"> (所提供品牌必须为以下所列范围内的品牌：韶钢、广钢、唐钢、萍钢、湘钢、首钢、柳钢、鞍钢、武钢、马钢、粤钢、裕丰、新抚顺、冷钢、桂万钢、东海、涟钢)</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9" w:type="dxa"/>
          <w:cantSplit/>
          <w:trHeight w:val="786" w:hRule="atLeast"/>
          <w:jc w:val="center"/>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420"/>
              </w:tabs>
              <w:adjustRightInd w:val="0"/>
              <w:snapToGrid w:val="0"/>
              <w:spacing w:line="360" w:lineRule="auto"/>
              <w:ind w:left="420" w:hanging="420"/>
              <w:jc w:val="center"/>
              <w:rPr>
                <w:rFonts w:hint="eastAsia" w:ascii="仿宋_GB2312" w:hAnsi="宋体" w:eastAsia="仿宋_GB2312" w:cs="宋体"/>
                <w:kern w:val="0"/>
                <w:sz w:val="24"/>
                <w:lang w:eastAsia="zh-CN"/>
              </w:rPr>
            </w:pPr>
            <w:r>
              <w:rPr>
                <w:rFonts w:hint="eastAsia" w:ascii="仿宋_GB2312" w:hAnsi="宋体" w:eastAsia="仿宋_GB2312" w:cs="宋体"/>
                <w:kern w:val="0"/>
                <w:sz w:val="24"/>
                <w:lang w:val="en-US" w:eastAsia="zh-CN"/>
              </w:rPr>
              <w:t>6</w:t>
            </w:r>
          </w:p>
        </w:tc>
        <w:tc>
          <w:tcPr>
            <w:tcW w:w="46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left"/>
              <w:rPr>
                <w:rFonts w:ascii="仿宋_GB2312" w:hAnsi="宋体" w:eastAsia="仿宋_GB2312" w:cs="宋体"/>
                <w:bCs/>
                <w:kern w:val="0"/>
                <w:sz w:val="24"/>
              </w:rPr>
            </w:pPr>
            <w:r>
              <w:rPr>
                <w:rFonts w:ascii="仿宋_GB2312" w:hAnsi="宋体" w:eastAsia="仿宋_GB2312" w:cs="宋体"/>
                <w:kern w:val="0"/>
                <w:sz w:val="24"/>
              </w:rPr>
              <w:t>申请人</w:t>
            </w:r>
            <w:r>
              <w:rPr>
                <w:rFonts w:ascii="仿宋_GB2312" w:hAnsi="宋体" w:eastAsia="仿宋_GB2312" w:cs="宋体"/>
                <w:bCs/>
                <w:kern w:val="0"/>
                <w:sz w:val="24"/>
              </w:rPr>
              <w:t>按照附件五的内容签署盖章的申请人声明</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9" w:type="dxa"/>
          <w:cantSplit/>
          <w:trHeight w:val="152" w:hRule="atLeast"/>
          <w:jc w:val="center"/>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420"/>
              </w:tabs>
              <w:adjustRightInd w:val="0"/>
              <w:snapToGrid w:val="0"/>
              <w:spacing w:line="360" w:lineRule="auto"/>
              <w:ind w:left="420" w:hanging="420"/>
              <w:jc w:val="center"/>
              <w:rPr>
                <w:rFonts w:hint="eastAsia" w:ascii="仿宋_GB2312" w:hAnsi="宋体" w:eastAsia="仿宋_GB2312" w:cs="宋体"/>
                <w:kern w:val="0"/>
                <w:sz w:val="24"/>
                <w:lang w:eastAsia="zh-CN"/>
              </w:rPr>
            </w:pPr>
            <w:r>
              <w:rPr>
                <w:rFonts w:hint="eastAsia" w:ascii="仿宋_GB2312" w:hAnsi="宋体" w:eastAsia="仿宋_GB2312" w:cs="宋体"/>
                <w:kern w:val="0"/>
                <w:sz w:val="24"/>
                <w:lang w:val="en-US" w:eastAsia="zh-CN"/>
              </w:rPr>
              <w:t>7</w:t>
            </w:r>
          </w:p>
        </w:tc>
        <w:tc>
          <w:tcPr>
            <w:tcW w:w="46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left"/>
              <w:rPr>
                <w:rFonts w:ascii="仿宋_GB2312" w:hAnsi="宋体" w:eastAsia="仿宋_GB2312" w:cs="宋体"/>
                <w:bCs/>
                <w:kern w:val="0"/>
                <w:sz w:val="24"/>
              </w:rPr>
            </w:pPr>
            <w:r>
              <w:rPr>
                <w:rFonts w:ascii="仿宋_GB2312" w:hAnsi="宋体" w:eastAsia="仿宋_GB2312" w:cs="宋体"/>
                <w:kern w:val="0"/>
                <w:sz w:val="24"/>
              </w:rPr>
              <w:t>申请人</w:t>
            </w:r>
            <w:r>
              <w:rPr>
                <w:rFonts w:ascii="仿宋_GB2312" w:hAnsi="宋体" w:eastAsia="仿宋_GB2312" w:cs="宋体"/>
                <w:bCs/>
                <w:kern w:val="0"/>
                <w:sz w:val="24"/>
              </w:rPr>
              <w:t>按照附件六的内容签署盖章的申请承诺</w:t>
            </w:r>
          </w:p>
        </w:tc>
        <w:tc>
          <w:tcPr>
            <w:tcW w:w="9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bCs/>
                <w:kern w:val="0"/>
                <w:sz w:val="24"/>
              </w:rPr>
            </w:pPr>
          </w:p>
        </w:tc>
      </w:tr>
    </w:tbl>
    <w:p>
      <w:pPr>
        <w:widowControl/>
        <w:tabs>
          <w:tab w:val="left" w:pos="180"/>
        </w:tabs>
        <w:spacing w:line="360" w:lineRule="auto"/>
        <w:ind w:left="720" w:hanging="720" w:hangingChars="300"/>
        <w:jc w:val="left"/>
        <w:rPr>
          <w:rFonts w:ascii="仿宋_GB2312" w:hAnsi="宋体" w:eastAsia="仿宋_GB2312" w:cs="宋体"/>
          <w:bCs/>
          <w:kern w:val="0"/>
          <w:sz w:val="24"/>
          <w:shd w:val="clear" w:color="auto" w:fill="FFFFFF"/>
        </w:rPr>
      </w:pPr>
    </w:p>
    <w:p>
      <w:pPr>
        <w:widowControl/>
        <w:tabs>
          <w:tab w:val="left" w:pos="180"/>
        </w:tabs>
        <w:spacing w:line="360" w:lineRule="auto"/>
        <w:ind w:left="720" w:hanging="720" w:hangingChars="300"/>
        <w:jc w:val="left"/>
        <w:rPr>
          <w:rFonts w:hint="eastAsia" w:ascii="仿宋_GB2312" w:hAnsi="宋体" w:eastAsia="仿宋_GB2312" w:cs="仿宋_GB2312"/>
          <w:sz w:val="24"/>
          <w:highlight w:val="yellow"/>
          <w:shd w:val="clear" w:color="auto" w:fill="FFFFFF"/>
          <w:lang w:eastAsia="zh-CN"/>
        </w:rPr>
      </w:pPr>
      <w:r>
        <w:rPr>
          <w:rFonts w:ascii="仿宋_GB2312" w:hAnsi="宋体" w:eastAsia="仿宋_GB2312" w:cs="宋体"/>
          <w:bCs/>
          <w:kern w:val="0"/>
          <w:sz w:val="24"/>
          <w:shd w:val="clear" w:color="auto" w:fill="FFFFFF"/>
        </w:rPr>
        <w:t>注</w:t>
      </w:r>
      <w:r>
        <w:rPr>
          <w:rFonts w:hint="eastAsia" w:ascii="仿宋_GB2312" w:hAnsi="宋体" w:eastAsia="仿宋_GB2312" w:cs="宋体"/>
          <w:bCs/>
          <w:kern w:val="0"/>
          <w:sz w:val="24"/>
          <w:shd w:val="clear" w:color="auto" w:fill="FFFFFF"/>
          <w:lang w:eastAsia="zh-CN"/>
        </w:rPr>
        <w:t>：</w:t>
      </w:r>
    </w:p>
    <w:p>
      <w:pPr>
        <w:widowControl/>
        <w:tabs>
          <w:tab w:val="left" w:pos="180"/>
        </w:tabs>
        <w:spacing w:line="360" w:lineRule="auto"/>
        <w:ind w:left="601" w:leftChars="172" w:hanging="240" w:hangingChars="100"/>
        <w:jc w:val="left"/>
        <w:rPr>
          <w:rFonts w:ascii="仿宋_GB2312" w:hAnsi="宋体" w:eastAsia="仿宋_GB2312" w:cs="仿宋_GB2312"/>
          <w:sz w:val="24"/>
          <w:shd w:val="clear" w:color="auto" w:fill="FFFFFF"/>
        </w:rPr>
      </w:pPr>
      <w:r>
        <w:rPr>
          <w:rFonts w:hint="eastAsia" w:ascii="仿宋_GB2312" w:hAnsi="宋体" w:eastAsia="仿宋_GB2312" w:cs="宋体"/>
          <w:bCs/>
          <w:kern w:val="0"/>
          <w:sz w:val="24"/>
          <w:shd w:val="clear" w:color="auto" w:fill="FFFFFF"/>
          <w:lang w:val="en-US" w:eastAsia="zh-CN"/>
        </w:rPr>
        <w:t>1</w:t>
      </w:r>
      <w:r>
        <w:rPr>
          <w:rFonts w:ascii="仿宋_GB2312" w:hAnsi="宋体" w:eastAsia="仿宋_GB2312" w:cs="宋体"/>
          <w:bCs/>
          <w:kern w:val="0"/>
          <w:sz w:val="24"/>
          <w:shd w:val="clear" w:color="auto" w:fill="FFFFFF"/>
        </w:rPr>
        <w:t>、本表原件审核情况栏及备注栏，申请人须留空，由招标人审核后填写。</w:t>
      </w:r>
    </w:p>
    <w:p>
      <w:pPr>
        <w:widowControl/>
        <w:spacing w:line="360" w:lineRule="auto"/>
        <w:ind w:left="601" w:leftChars="172" w:hanging="240" w:hangingChars="100"/>
        <w:jc w:val="left"/>
        <w:rPr>
          <w:rFonts w:ascii="仿宋_GB2312" w:hAnsi="宋体" w:eastAsia="仿宋_GB2312" w:cs="宋体"/>
          <w:bCs/>
          <w:kern w:val="0"/>
          <w:sz w:val="24"/>
          <w:shd w:val="clear" w:color="auto" w:fill="FFFFFF"/>
        </w:rPr>
      </w:pPr>
      <w:r>
        <w:rPr>
          <w:rFonts w:hint="eastAsia" w:ascii="仿宋_GB2312" w:hAnsi="宋体" w:eastAsia="仿宋_GB2312" w:cs="宋体"/>
          <w:bCs/>
          <w:kern w:val="0"/>
          <w:sz w:val="24"/>
          <w:shd w:val="clear" w:color="auto" w:fill="FFFFFF"/>
          <w:lang w:val="en-US" w:eastAsia="zh-CN"/>
        </w:rPr>
        <w:t>2</w:t>
      </w:r>
      <w:r>
        <w:rPr>
          <w:rFonts w:ascii="仿宋_GB2312" w:hAnsi="宋体" w:eastAsia="仿宋_GB2312" w:cs="宋体"/>
          <w:bCs/>
          <w:kern w:val="0"/>
          <w:sz w:val="24"/>
          <w:shd w:val="clear" w:color="auto" w:fill="FFFFFF"/>
        </w:rPr>
        <w:t>、本表“报名提交资料要求”中核对原件备查指申请人需在投标报名时提交原件供核查，并确保在招标期间应招标人和建设行政管理部门及工程招标监督机构提出要求后2日内提供原件复查。</w:t>
      </w:r>
    </w:p>
    <w:p>
      <w:pPr>
        <w:widowControl/>
        <w:spacing w:line="360" w:lineRule="auto"/>
        <w:ind w:left="601" w:leftChars="172" w:hanging="240" w:hangingChars="100"/>
        <w:jc w:val="left"/>
        <w:rPr>
          <w:rFonts w:ascii="仿宋_GB2312" w:hAnsi="宋体" w:eastAsia="仿宋_GB2312" w:cs="宋体"/>
          <w:bCs/>
          <w:kern w:val="0"/>
          <w:sz w:val="24"/>
          <w:shd w:val="clear" w:color="auto" w:fill="FFFFFF"/>
        </w:rPr>
      </w:pPr>
      <w:r>
        <w:rPr>
          <w:rFonts w:hint="eastAsia" w:ascii="仿宋_GB2312" w:hAnsi="宋体" w:eastAsia="仿宋_GB2312" w:cs="宋体"/>
          <w:bCs/>
          <w:kern w:val="0"/>
          <w:sz w:val="24"/>
          <w:shd w:val="clear" w:color="auto" w:fill="FFFFFF"/>
          <w:lang w:val="en-US" w:eastAsia="zh-CN"/>
        </w:rPr>
        <w:t>3</w:t>
      </w:r>
      <w:r>
        <w:rPr>
          <w:rFonts w:ascii="仿宋_GB2312" w:hAnsi="宋体" w:eastAsia="仿宋_GB2312" w:cs="宋体"/>
          <w:bCs/>
          <w:kern w:val="0"/>
          <w:sz w:val="24"/>
          <w:shd w:val="clear" w:color="auto" w:fill="FFFFFF"/>
        </w:rPr>
        <w:t>、本表一式两份，一份附于报名资料内作为报名资料目录，另一份交回申请人的代表。两份表格中每页的“审核确认”栏均需双方签署。</w:t>
      </w:r>
    </w:p>
    <w:p>
      <w:pPr>
        <w:widowControl/>
        <w:spacing w:line="360" w:lineRule="auto"/>
        <w:ind w:left="601" w:leftChars="172" w:hanging="240" w:hangingChars="100"/>
        <w:jc w:val="left"/>
        <w:rPr>
          <w:rFonts w:ascii="仿宋_GB2312" w:hAnsi="宋体" w:eastAsia="仿宋_GB2312" w:cs="宋体"/>
          <w:bCs/>
          <w:kern w:val="0"/>
          <w:sz w:val="24"/>
          <w:shd w:val="clear" w:color="auto" w:fill="FFFFFF"/>
        </w:rPr>
      </w:pPr>
      <w:r>
        <w:rPr>
          <w:rFonts w:hint="eastAsia" w:ascii="仿宋_GB2312" w:hAnsi="宋体" w:eastAsia="仿宋_GB2312" w:cs="宋体"/>
          <w:bCs/>
          <w:kern w:val="0"/>
          <w:sz w:val="24"/>
          <w:shd w:val="clear" w:color="auto" w:fill="FFFFFF"/>
          <w:lang w:val="en-US" w:eastAsia="zh-CN"/>
        </w:rPr>
        <w:t>4</w:t>
      </w:r>
      <w:r>
        <w:rPr>
          <w:rFonts w:ascii="仿宋_GB2312" w:hAnsi="宋体" w:eastAsia="仿宋_GB2312" w:cs="宋体"/>
          <w:bCs/>
          <w:kern w:val="0"/>
          <w:sz w:val="24"/>
          <w:shd w:val="clear" w:color="auto" w:fill="FFFFFF"/>
        </w:rPr>
        <w:t xml:space="preserve">、本表中没有要求提交的资料，不作为资审不合格的依据。 </w:t>
      </w:r>
    </w:p>
    <w:p>
      <w:pPr>
        <w:widowControl/>
        <w:spacing w:line="360" w:lineRule="auto"/>
        <w:jc w:val="left"/>
        <w:rPr>
          <w:rFonts w:ascii="仿宋_GB2312" w:hAnsi="宋体" w:eastAsia="仿宋_GB2312" w:cs="仿宋_GB2312"/>
          <w:sz w:val="24"/>
          <w:shd w:val="clear" w:color="auto" w:fill="FFFFFF"/>
        </w:rPr>
      </w:pPr>
    </w:p>
    <w:p>
      <w:pPr>
        <w:widowControl/>
        <w:spacing w:line="360" w:lineRule="auto"/>
        <w:jc w:val="left"/>
        <w:rPr>
          <w:rFonts w:ascii="仿宋_GB2312" w:hAnsi="宋体" w:eastAsia="仿宋_GB2312" w:cs="仿宋_GB2312"/>
          <w:kern w:val="0"/>
          <w:sz w:val="24"/>
          <w:shd w:val="clear" w:color="auto" w:fill="FFFFFF"/>
          <w:lang w:val="zh-CN"/>
        </w:rPr>
      </w:pPr>
    </w:p>
    <w:p>
      <w:pPr>
        <w:widowControl/>
        <w:spacing w:line="360" w:lineRule="auto"/>
        <w:jc w:val="left"/>
        <w:rPr>
          <w:rFonts w:ascii="仿宋_GB2312" w:hAnsi="宋体" w:eastAsia="仿宋_GB2312" w:cs="仿宋_GB2312"/>
          <w:kern w:val="0"/>
          <w:sz w:val="24"/>
          <w:shd w:val="clear" w:color="auto" w:fill="FFFFFF"/>
          <w:lang w:val="zh-CN"/>
        </w:rPr>
      </w:pPr>
    </w:p>
    <w:p>
      <w:pPr>
        <w:widowControl/>
        <w:spacing w:line="360" w:lineRule="auto"/>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br w:type="page"/>
      </w:r>
    </w:p>
    <w:p>
      <w:pPr>
        <w:widowControl/>
        <w:spacing w:line="360" w:lineRule="auto"/>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附件三：</w:t>
      </w:r>
    </w:p>
    <w:p>
      <w:pPr>
        <w:pStyle w:val="3"/>
        <w:widowControl/>
        <w:spacing w:before="260" w:after="260" w:line="360" w:lineRule="auto"/>
        <w:jc w:val="center"/>
        <w:rPr>
          <w:rFonts w:hint="default" w:ascii="仿宋_GB2312" w:eastAsia="仿宋_GB2312" w:cs="仿宋_GB2312"/>
          <w:sz w:val="24"/>
          <w:szCs w:val="24"/>
          <w:shd w:val="clear" w:color="auto" w:fill="FFFFFF"/>
          <w:lang w:val="zh-CN"/>
        </w:rPr>
      </w:pPr>
      <w:r>
        <w:rPr>
          <w:rFonts w:hint="default" w:ascii="仿宋_GB2312" w:eastAsia="仿宋_GB2312" w:cs="仿宋_GB2312"/>
          <w:sz w:val="24"/>
          <w:szCs w:val="24"/>
          <w:shd w:val="clear" w:color="auto" w:fill="FFFFFF"/>
          <w:lang w:val="zh-CN"/>
        </w:rPr>
        <w:t>广东一新长城建筑集团有限公司钢筋材料采购类合格供应商企业库</w:t>
      </w:r>
    </w:p>
    <w:p>
      <w:pPr>
        <w:pStyle w:val="3"/>
        <w:widowControl/>
        <w:spacing w:before="260" w:after="260" w:line="360" w:lineRule="auto"/>
        <w:jc w:val="center"/>
        <w:rPr>
          <w:rFonts w:hint="default" w:ascii="仿宋_GB2312" w:eastAsia="仿宋_GB2312" w:cs="仿宋_GB2312"/>
          <w:sz w:val="24"/>
          <w:szCs w:val="24"/>
          <w:shd w:val="clear" w:color="auto" w:fill="FFFFFF"/>
          <w:lang w:val="zh-CN"/>
        </w:rPr>
      </w:pPr>
      <w:r>
        <w:rPr>
          <w:rFonts w:hint="default" w:ascii="仿宋_GB2312" w:eastAsia="仿宋_GB2312" w:cs="仿宋_GB2312"/>
          <w:sz w:val="24"/>
          <w:szCs w:val="24"/>
          <w:shd w:val="clear" w:color="auto" w:fill="FFFFFF"/>
          <w:lang w:val="zh-CN"/>
        </w:rPr>
        <w:t>资格审查符合性审查表</w:t>
      </w:r>
    </w:p>
    <w:tbl>
      <w:tblPr>
        <w:tblStyle w:val="7"/>
        <w:tblW w:w="8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6"/>
        <w:gridCol w:w="2686"/>
        <w:gridCol w:w="2578"/>
        <w:gridCol w:w="2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5" w:hRule="atLeast"/>
          <w:tblHeader/>
        </w:trPr>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b/>
                <w:kern w:val="0"/>
                <w:sz w:val="24"/>
              </w:rPr>
            </w:pPr>
            <w:r>
              <w:rPr>
                <w:rFonts w:ascii="仿宋_GB2312" w:hAnsi="宋体" w:eastAsia="仿宋_GB2312" w:cs="仿宋_GB2312"/>
                <w:b/>
                <w:kern w:val="0"/>
                <w:sz w:val="24"/>
              </w:rPr>
              <w:t>序号</w:t>
            </w:r>
          </w:p>
        </w:tc>
        <w:tc>
          <w:tcPr>
            <w:tcW w:w="268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b/>
                <w:kern w:val="0"/>
                <w:sz w:val="24"/>
              </w:rPr>
            </w:pPr>
            <w:r>
              <w:rPr>
                <w:rFonts w:ascii="仿宋_GB2312" w:hAnsi="宋体" w:eastAsia="仿宋_GB2312" w:cs="仿宋_GB2312"/>
                <w:b/>
                <w:kern w:val="0"/>
                <w:sz w:val="24"/>
              </w:rPr>
              <w:t>符合性审查内容</w:t>
            </w:r>
          </w:p>
        </w:tc>
        <w:tc>
          <w:tcPr>
            <w:tcW w:w="25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b/>
                <w:kern w:val="0"/>
                <w:sz w:val="24"/>
              </w:rPr>
            </w:pPr>
            <w:r>
              <w:rPr>
                <w:rFonts w:ascii="仿宋_GB2312" w:hAnsi="宋体" w:eastAsia="仿宋_GB2312" w:cs="仿宋_GB2312"/>
                <w:b/>
                <w:kern w:val="0"/>
                <w:sz w:val="24"/>
              </w:rPr>
              <w:t>通过标准</w:t>
            </w:r>
          </w:p>
        </w:tc>
        <w:tc>
          <w:tcPr>
            <w:tcW w:w="26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b/>
                <w:kern w:val="0"/>
                <w:sz w:val="24"/>
              </w:rPr>
            </w:pPr>
            <w:r>
              <w:rPr>
                <w:rFonts w:ascii="仿宋_GB2312" w:hAnsi="宋体" w:eastAsia="仿宋_GB2312" w:cs="仿宋_GB2312"/>
                <w:b/>
                <w:kern w:val="0"/>
                <w:sz w:val="24"/>
              </w:rPr>
              <w:t>不通过标准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9" w:hRule="atLeast"/>
        </w:trPr>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kern w:val="0"/>
                <w:sz w:val="24"/>
              </w:rPr>
            </w:pPr>
            <w:r>
              <w:rPr>
                <w:rFonts w:ascii="仿宋_GB2312" w:hAnsi="宋体" w:eastAsia="仿宋_GB2312" w:cs="仿宋_GB2312"/>
                <w:kern w:val="0"/>
                <w:sz w:val="24"/>
              </w:rPr>
              <w:t>1</w:t>
            </w:r>
          </w:p>
        </w:tc>
        <w:tc>
          <w:tcPr>
            <w:tcW w:w="268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申请人参加投标的意思表达清楚，申请人代表被授权有效</w:t>
            </w:r>
          </w:p>
        </w:tc>
        <w:tc>
          <w:tcPr>
            <w:tcW w:w="25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申请人参加投标的意思表达清楚，具有申请人代表授权书并且授权书有效</w:t>
            </w:r>
          </w:p>
        </w:tc>
        <w:tc>
          <w:tcPr>
            <w:tcW w:w="26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申请人参加投标的意思未表达清楚，不具有申请人代表授权书或授权书无效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40" w:hRule="atLeast"/>
        </w:trPr>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kern w:val="0"/>
                <w:sz w:val="24"/>
              </w:rPr>
            </w:pPr>
            <w:r>
              <w:rPr>
                <w:rFonts w:ascii="仿宋_GB2312" w:hAnsi="宋体" w:eastAsia="仿宋_GB2312" w:cs="仿宋_GB2312"/>
                <w:kern w:val="0"/>
                <w:sz w:val="24"/>
              </w:rPr>
              <w:t>2</w:t>
            </w:r>
          </w:p>
        </w:tc>
        <w:tc>
          <w:tcPr>
            <w:tcW w:w="268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宋体"/>
                <w:kern w:val="0"/>
                <w:sz w:val="24"/>
              </w:rPr>
              <w:t>申请人须是法人或者其他组织，同时持有工商行政管理部门核发的营业执照，按国家法律经营；单位负责人为同一人或者存在控股、管理关系的不同单位，不得参加同时参加本项目申请</w:t>
            </w:r>
          </w:p>
        </w:tc>
        <w:tc>
          <w:tcPr>
            <w:tcW w:w="25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宋体"/>
                <w:kern w:val="0"/>
                <w:sz w:val="24"/>
              </w:rPr>
              <w:t>申请人是法人或者其他组织，同时持有工商行政管理部门核发的营业执照，按国家法律经营；单位负责人不为同一人或者不存在控股、管理关系的不同单位</w:t>
            </w:r>
          </w:p>
        </w:tc>
        <w:tc>
          <w:tcPr>
            <w:tcW w:w="26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宋体"/>
                <w:kern w:val="0"/>
                <w:sz w:val="24"/>
              </w:rPr>
              <w:t>申请人不是法人或者其他组织，未持有工商行政管理部门核发的营业执照，未按国家法律经营；单位负责人为同一人或者存在控股、管理关系的不同单位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40" w:hRule="atLeast"/>
        </w:trPr>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kern w:val="0"/>
                <w:sz w:val="24"/>
              </w:rPr>
            </w:pPr>
            <w:r>
              <w:rPr>
                <w:rFonts w:ascii="仿宋_GB2312" w:hAnsi="宋体" w:eastAsia="仿宋_GB2312" w:cs="仿宋_GB2312"/>
                <w:kern w:val="0"/>
                <w:sz w:val="24"/>
              </w:rPr>
              <w:t>3</w:t>
            </w:r>
          </w:p>
        </w:tc>
        <w:tc>
          <w:tcPr>
            <w:tcW w:w="268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申请人营业执照要求</w:t>
            </w:r>
          </w:p>
        </w:tc>
        <w:tc>
          <w:tcPr>
            <w:tcW w:w="25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宋体"/>
                <w:kern w:val="0"/>
                <w:sz w:val="24"/>
              </w:rPr>
              <w:t>申请人的营业执照有效，经营范围涵盖所投标产品内容。</w:t>
            </w:r>
          </w:p>
        </w:tc>
        <w:tc>
          <w:tcPr>
            <w:tcW w:w="26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宋体"/>
                <w:kern w:val="0"/>
                <w:sz w:val="24"/>
              </w:rPr>
              <w:t>申请人的营业执照无效，经营范围未涵盖所投标产品内容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40" w:hRule="atLeast"/>
        </w:trPr>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kern w:val="0"/>
                <w:sz w:val="24"/>
              </w:rPr>
            </w:pPr>
            <w:r>
              <w:rPr>
                <w:rFonts w:ascii="仿宋_GB2312" w:hAnsi="宋体" w:eastAsia="仿宋_GB2312" w:cs="仿宋_GB2312"/>
                <w:kern w:val="0"/>
                <w:sz w:val="24"/>
              </w:rPr>
              <w:t>4</w:t>
            </w:r>
          </w:p>
        </w:tc>
        <w:tc>
          <w:tcPr>
            <w:tcW w:w="268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宋体"/>
                <w:sz w:val="24"/>
              </w:rPr>
            </w:pPr>
            <w:r>
              <w:rPr>
                <w:rFonts w:ascii="仿宋_GB2312" w:hAnsi="宋体" w:eastAsia="仿宋_GB2312" w:cs="宋体"/>
                <w:kern w:val="0"/>
                <w:sz w:val="24"/>
                <w:shd w:val="clear" w:color="auto" w:fill="FFFFFF"/>
                <w:lang w:bidi="ar"/>
              </w:rPr>
              <w:t>申请人必须是拟供应货物的生产商或生产商授权参加本次申请的授权代理</w:t>
            </w:r>
          </w:p>
        </w:tc>
        <w:tc>
          <w:tcPr>
            <w:tcW w:w="25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宋体"/>
                <w:kern w:val="0"/>
                <w:sz w:val="24"/>
                <w:shd w:val="clear" w:color="auto" w:fill="FFFFFF"/>
                <w:lang w:bidi="ar"/>
              </w:rPr>
              <w:t>申请人是拟供应货物的生产商或生产商授权参加本次申请的授权代理</w:t>
            </w:r>
          </w:p>
        </w:tc>
        <w:tc>
          <w:tcPr>
            <w:tcW w:w="26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宋体"/>
                <w:kern w:val="0"/>
                <w:sz w:val="24"/>
                <w:shd w:val="clear" w:color="auto" w:fill="FFFFFF"/>
                <w:lang w:bidi="ar"/>
              </w:rPr>
              <w:t>申请人</w:t>
            </w:r>
            <w:r>
              <w:rPr>
                <w:rFonts w:hint="eastAsia" w:ascii="仿宋_GB2312" w:hAnsi="宋体" w:eastAsia="仿宋_GB2312" w:cs="宋体"/>
                <w:kern w:val="0"/>
                <w:sz w:val="24"/>
                <w:shd w:val="clear" w:color="auto" w:fill="FFFFFF"/>
                <w:lang w:eastAsia="zh-CN" w:bidi="ar"/>
              </w:rPr>
              <w:t>不</w:t>
            </w:r>
            <w:r>
              <w:rPr>
                <w:rFonts w:ascii="仿宋_GB2312" w:hAnsi="宋体" w:eastAsia="仿宋_GB2312" w:cs="宋体"/>
                <w:kern w:val="0"/>
                <w:sz w:val="24"/>
                <w:shd w:val="clear" w:color="auto" w:fill="FFFFFF"/>
                <w:lang w:bidi="ar"/>
              </w:rPr>
              <w:t>是拟供应货物的生产商或生产商授权参加本次申请的授权代理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4" w:hRule="atLeast"/>
        </w:trPr>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kern w:val="0"/>
                <w:sz w:val="24"/>
              </w:rPr>
            </w:pPr>
            <w:r>
              <w:rPr>
                <w:rFonts w:ascii="仿宋_GB2312" w:hAnsi="宋体" w:eastAsia="仿宋_GB2312" w:cs="仿宋_GB2312"/>
                <w:kern w:val="0"/>
                <w:sz w:val="24"/>
              </w:rPr>
              <w:t>5</w:t>
            </w:r>
          </w:p>
        </w:tc>
        <w:tc>
          <w:tcPr>
            <w:tcW w:w="268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highlight w:val="none"/>
              </w:rPr>
            </w:pPr>
            <w:r>
              <w:rPr>
                <w:rFonts w:ascii="仿宋_GB2312" w:hAnsi="宋体" w:eastAsia="仿宋_GB2312" w:cs="仿宋_GB2312"/>
                <w:kern w:val="0"/>
                <w:sz w:val="24"/>
                <w:highlight w:val="none"/>
              </w:rPr>
              <w:t>供应品牌要求</w:t>
            </w:r>
          </w:p>
        </w:tc>
        <w:tc>
          <w:tcPr>
            <w:tcW w:w="25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color w:val="0000FF"/>
                <w:kern w:val="0"/>
                <w:sz w:val="24"/>
                <w:highlight w:val="none"/>
              </w:rPr>
            </w:pPr>
            <w:r>
              <w:rPr>
                <w:rFonts w:ascii="仿宋_GB2312" w:hAnsi="宋体" w:eastAsia="仿宋_GB2312" w:cs="仿宋_GB2312"/>
                <w:color w:val="auto"/>
                <w:kern w:val="0"/>
                <w:sz w:val="24"/>
                <w:highlight w:val="none"/>
              </w:rPr>
              <w:t>满足公告第</w:t>
            </w:r>
            <w:r>
              <w:rPr>
                <w:rFonts w:hint="eastAsia" w:ascii="仿宋_GB2312" w:hAnsi="宋体" w:eastAsia="仿宋_GB2312" w:cs="仿宋_GB2312"/>
                <w:color w:val="auto"/>
                <w:kern w:val="0"/>
                <w:sz w:val="24"/>
                <w:highlight w:val="none"/>
                <w:lang w:eastAsia="zh-CN"/>
              </w:rPr>
              <w:t>十</w:t>
            </w:r>
            <w:r>
              <w:rPr>
                <w:rFonts w:ascii="仿宋_GB2312" w:hAnsi="宋体" w:eastAsia="仿宋_GB2312" w:cs="仿宋_GB2312"/>
                <w:color w:val="auto"/>
                <w:kern w:val="0"/>
                <w:sz w:val="24"/>
                <w:highlight w:val="none"/>
              </w:rPr>
              <w:t>条</w:t>
            </w:r>
            <w:r>
              <w:rPr>
                <w:rFonts w:hint="eastAsia" w:ascii="仿宋_GB2312" w:hAnsi="宋体" w:eastAsia="仿宋_GB2312" w:cs="仿宋_GB2312"/>
                <w:color w:val="auto"/>
                <w:kern w:val="0"/>
                <w:sz w:val="24"/>
                <w:highlight w:val="none"/>
                <w:lang w:val="en-US" w:eastAsia="zh-CN"/>
              </w:rPr>
              <w:t>10.1</w:t>
            </w:r>
            <w:r>
              <w:rPr>
                <w:rFonts w:ascii="仿宋_GB2312" w:hAnsi="宋体" w:eastAsia="仿宋_GB2312" w:cs="仿宋_GB2312"/>
                <w:color w:val="auto"/>
                <w:kern w:val="0"/>
                <w:sz w:val="24"/>
                <w:highlight w:val="none"/>
              </w:rPr>
              <w:t>第</w:t>
            </w:r>
            <w:r>
              <w:rPr>
                <w:rFonts w:hint="eastAsia" w:ascii="仿宋_GB2312" w:hAnsi="宋体" w:eastAsia="仿宋_GB2312" w:cs="仿宋_GB2312"/>
                <w:color w:val="auto"/>
                <w:kern w:val="0"/>
                <w:sz w:val="24"/>
                <w:highlight w:val="none"/>
                <w:lang w:val="en-US" w:eastAsia="zh-CN"/>
              </w:rPr>
              <w:t>4</w:t>
            </w:r>
            <w:r>
              <w:rPr>
                <w:rFonts w:ascii="仿宋_GB2312" w:hAnsi="宋体" w:eastAsia="仿宋_GB2312" w:cs="仿宋_GB2312"/>
                <w:color w:val="auto"/>
                <w:kern w:val="0"/>
                <w:sz w:val="24"/>
                <w:highlight w:val="none"/>
              </w:rPr>
              <w:t>点规定要求</w:t>
            </w:r>
          </w:p>
        </w:tc>
        <w:tc>
          <w:tcPr>
            <w:tcW w:w="26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highlight w:val="none"/>
              </w:rPr>
            </w:pPr>
            <w:r>
              <w:rPr>
                <w:rFonts w:hint="eastAsia" w:ascii="仿宋_GB2312" w:hAnsi="宋体" w:eastAsia="仿宋_GB2312" w:cs="仿宋_GB2312"/>
                <w:color w:val="auto"/>
                <w:kern w:val="0"/>
                <w:sz w:val="24"/>
                <w:highlight w:val="none"/>
                <w:lang w:val="en-US" w:eastAsia="zh-CN"/>
              </w:rPr>
              <w:t>不</w:t>
            </w:r>
            <w:r>
              <w:rPr>
                <w:rFonts w:ascii="仿宋_GB2312" w:hAnsi="宋体" w:eastAsia="仿宋_GB2312" w:cs="仿宋_GB2312"/>
                <w:color w:val="auto"/>
                <w:kern w:val="0"/>
                <w:sz w:val="24"/>
                <w:highlight w:val="none"/>
              </w:rPr>
              <w:t>满足公告第</w:t>
            </w:r>
            <w:r>
              <w:rPr>
                <w:rFonts w:hint="eastAsia" w:ascii="仿宋_GB2312" w:hAnsi="宋体" w:eastAsia="仿宋_GB2312" w:cs="仿宋_GB2312"/>
                <w:color w:val="auto"/>
                <w:kern w:val="0"/>
                <w:sz w:val="24"/>
                <w:highlight w:val="none"/>
                <w:lang w:eastAsia="zh-CN"/>
              </w:rPr>
              <w:t>十</w:t>
            </w:r>
            <w:r>
              <w:rPr>
                <w:rFonts w:ascii="仿宋_GB2312" w:hAnsi="宋体" w:eastAsia="仿宋_GB2312" w:cs="仿宋_GB2312"/>
                <w:color w:val="auto"/>
                <w:kern w:val="0"/>
                <w:sz w:val="24"/>
                <w:highlight w:val="none"/>
              </w:rPr>
              <w:t>条</w:t>
            </w:r>
            <w:r>
              <w:rPr>
                <w:rFonts w:hint="eastAsia" w:ascii="仿宋_GB2312" w:hAnsi="宋体" w:eastAsia="仿宋_GB2312" w:cs="仿宋_GB2312"/>
                <w:color w:val="auto"/>
                <w:kern w:val="0"/>
                <w:sz w:val="24"/>
                <w:highlight w:val="none"/>
                <w:lang w:val="en-US" w:eastAsia="zh-CN"/>
              </w:rPr>
              <w:t>10.1</w:t>
            </w:r>
            <w:r>
              <w:rPr>
                <w:rFonts w:ascii="仿宋_GB2312" w:hAnsi="宋体" w:eastAsia="仿宋_GB2312" w:cs="仿宋_GB2312"/>
                <w:color w:val="auto"/>
                <w:kern w:val="0"/>
                <w:sz w:val="24"/>
                <w:highlight w:val="none"/>
              </w:rPr>
              <w:t>第</w:t>
            </w:r>
            <w:r>
              <w:rPr>
                <w:rFonts w:hint="eastAsia" w:ascii="仿宋_GB2312" w:hAnsi="宋体" w:eastAsia="仿宋_GB2312" w:cs="仿宋_GB2312"/>
                <w:color w:val="auto"/>
                <w:kern w:val="0"/>
                <w:sz w:val="24"/>
                <w:highlight w:val="none"/>
                <w:lang w:val="en-US" w:eastAsia="zh-CN"/>
              </w:rPr>
              <w:t>4</w:t>
            </w:r>
            <w:r>
              <w:rPr>
                <w:rFonts w:ascii="仿宋_GB2312" w:hAnsi="宋体" w:eastAsia="仿宋_GB2312" w:cs="仿宋_GB2312"/>
                <w:color w:val="auto"/>
                <w:kern w:val="0"/>
                <w:sz w:val="24"/>
                <w:highlight w:val="none"/>
              </w:rPr>
              <w:t>点规定要求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kern w:val="0"/>
                <w:sz w:val="24"/>
              </w:rPr>
            </w:pPr>
            <w:r>
              <w:rPr>
                <w:rFonts w:ascii="仿宋_GB2312" w:hAnsi="宋体" w:eastAsia="仿宋_GB2312" w:cs="仿宋_GB2312"/>
                <w:kern w:val="0"/>
                <w:sz w:val="24"/>
              </w:rPr>
              <w:t>6</w:t>
            </w:r>
          </w:p>
        </w:tc>
        <w:tc>
          <w:tcPr>
            <w:tcW w:w="268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是否为联合体投标</w:t>
            </w:r>
          </w:p>
        </w:tc>
        <w:tc>
          <w:tcPr>
            <w:tcW w:w="25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color w:val="0000FF"/>
                <w:kern w:val="0"/>
                <w:sz w:val="24"/>
              </w:rPr>
            </w:pPr>
            <w:r>
              <w:rPr>
                <w:rFonts w:ascii="仿宋_GB2312" w:hAnsi="宋体" w:eastAsia="仿宋_GB2312" w:cs="仿宋_GB2312"/>
                <w:kern w:val="0"/>
                <w:sz w:val="24"/>
              </w:rPr>
              <w:t>不是以联合体形式投标</w:t>
            </w:r>
          </w:p>
        </w:tc>
        <w:tc>
          <w:tcPr>
            <w:tcW w:w="26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以联合体形式形式投标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_GB2312" w:hAnsi="宋体" w:eastAsia="仿宋_GB2312" w:cs="仿宋_GB2312"/>
                <w:kern w:val="0"/>
                <w:sz w:val="24"/>
                <w:lang w:eastAsia="zh-CN"/>
              </w:rPr>
            </w:pPr>
            <w:r>
              <w:rPr>
                <w:rFonts w:hint="eastAsia" w:ascii="仿宋_GB2312" w:hAnsi="宋体" w:eastAsia="仿宋_GB2312" w:cs="仿宋_GB2312"/>
                <w:kern w:val="0"/>
                <w:sz w:val="24"/>
                <w:lang w:val="en-US" w:eastAsia="zh-CN"/>
              </w:rPr>
              <w:t>7</w:t>
            </w:r>
          </w:p>
        </w:tc>
        <w:tc>
          <w:tcPr>
            <w:tcW w:w="268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申请人声明</w:t>
            </w:r>
          </w:p>
        </w:tc>
        <w:tc>
          <w:tcPr>
            <w:tcW w:w="25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申请人已按照附件五的内容签署盖章的申请人声明</w:t>
            </w:r>
          </w:p>
        </w:tc>
        <w:tc>
          <w:tcPr>
            <w:tcW w:w="26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申请人未按照附件五的内容签署盖章的申请人声明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_GB2312" w:hAnsi="宋体" w:eastAsia="仿宋_GB2312" w:cs="仿宋_GB2312"/>
                <w:kern w:val="0"/>
                <w:sz w:val="24"/>
                <w:lang w:val="en-US" w:eastAsia="zh-CN"/>
              </w:rPr>
            </w:pPr>
            <w:r>
              <w:rPr>
                <w:rFonts w:hint="eastAsia" w:ascii="仿宋_GB2312" w:hAnsi="宋体" w:eastAsia="仿宋_GB2312" w:cs="仿宋_GB2312"/>
                <w:kern w:val="0"/>
                <w:sz w:val="24"/>
                <w:lang w:val="en-US" w:eastAsia="zh-CN"/>
              </w:rPr>
              <w:t>8</w:t>
            </w:r>
          </w:p>
        </w:tc>
        <w:tc>
          <w:tcPr>
            <w:tcW w:w="268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申请人承诺书</w:t>
            </w:r>
          </w:p>
        </w:tc>
        <w:tc>
          <w:tcPr>
            <w:tcW w:w="25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申请人已按附件六内容出具承诺书</w:t>
            </w:r>
          </w:p>
        </w:tc>
        <w:tc>
          <w:tcPr>
            <w:tcW w:w="26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仿宋_GB2312"/>
                <w:kern w:val="0"/>
                <w:sz w:val="24"/>
              </w:rPr>
            </w:pPr>
            <w:r>
              <w:rPr>
                <w:rFonts w:ascii="仿宋_GB2312" w:hAnsi="宋体" w:eastAsia="仿宋_GB2312" w:cs="仿宋_GB2312"/>
                <w:kern w:val="0"/>
                <w:sz w:val="24"/>
              </w:rPr>
              <w:t>申请人未按按附件六内容出具承诺书</w:t>
            </w:r>
          </w:p>
        </w:tc>
      </w:tr>
    </w:tbl>
    <w:p>
      <w:pPr>
        <w:widowControl/>
        <w:spacing w:line="360" w:lineRule="auto"/>
        <w:jc w:val="left"/>
        <w:rPr>
          <w:rFonts w:ascii="仿宋_GB2312" w:hAnsi="宋体" w:eastAsia="仿宋_GB2312" w:cs="仿宋_GB2312"/>
          <w:sz w:val="24"/>
          <w:shd w:val="clear" w:color="auto" w:fill="FFFFFF"/>
        </w:rPr>
      </w:pPr>
      <w:r>
        <w:rPr>
          <w:rFonts w:ascii="仿宋_GB2312" w:hAnsi="宋体" w:eastAsia="仿宋_GB2312" w:cs="Times New Roman"/>
          <w:sz w:val="24"/>
          <w:shd w:val="clear" w:color="auto" w:fill="FFFFFF"/>
          <w:lang w:val="zh-CN"/>
        </w:rPr>
        <w:br w:type="page"/>
      </w:r>
      <w:r>
        <w:rPr>
          <w:rFonts w:ascii="仿宋_GB2312" w:hAnsi="宋体" w:eastAsia="仿宋_GB2312" w:cs="仿宋_GB2312"/>
          <w:kern w:val="0"/>
          <w:sz w:val="24"/>
          <w:shd w:val="clear" w:color="auto" w:fill="FFFFFF"/>
        </w:rPr>
        <w:t>附件四：</w:t>
      </w:r>
    </w:p>
    <w:p>
      <w:pPr>
        <w:pStyle w:val="3"/>
        <w:widowControl/>
        <w:spacing w:before="260" w:after="260" w:line="360" w:lineRule="auto"/>
        <w:jc w:val="center"/>
        <w:rPr>
          <w:rFonts w:hint="default" w:ascii="仿宋_GB2312" w:eastAsia="仿宋_GB2312" w:cs="仿宋_GB2312"/>
          <w:sz w:val="24"/>
          <w:szCs w:val="24"/>
          <w:shd w:val="clear" w:color="auto" w:fill="FFFFFF"/>
        </w:rPr>
      </w:pPr>
      <w:r>
        <w:rPr>
          <w:rFonts w:hint="default" w:ascii="仿宋_GB2312" w:eastAsia="仿宋_GB2312" w:cs="仿宋_GB2312"/>
          <w:sz w:val="24"/>
          <w:szCs w:val="24"/>
          <w:shd w:val="clear" w:color="auto" w:fill="FFFFFF"/>
        </w:rPr>
        <w:t>申请人提交择优资料一览表</w:t>
      </w:r>
    </w:p>
    <w:tbl>
      <w:tblPr>
        <w:tblStyle w:val="7"/>
        <w:tblW w:w="10286"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0" w:type="dxa"/>
          <w:bottom w:w="0" w:type="dxa"/>
          <w:right w:w="0" w:type="dxa"/>
        </w:tblCellMar>
      </w:tblPr>
      <w:tblGrid>
        <w:gridCol w:w="707"/>
        <w:gridCol w:w="4070"/>
        <w:gridCol w:w="794"/>
        <w:gridCol w:w="1405"/>
        <w:gridCol w:w="2467"/>
        <w:gridCol w:w="843"/>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0" w:type="dxa"/>
            <w:bottom w:w="0" w:type="dxa"/>
            <w:right w:w="0" w:type="dxa"/>
          </w:tblCellMar>
        </w:tblPrEx>
        <w:trPr>
          <w:cantSplit/>
          <w:trHeight w:val="300" w:hRule="atLeast"/>
          <w:jc w:val="center"/>
        </w:trPr>
        <w:tc>
          <w:tcPr>
            <w:tcW w:w="707" w:type="dxa"/>
            <w:vMerge w:val="restart"/>
            <w:tcBorders>
              <w:top w:val="single" w:color="auto" w:sz="4" w:space="0"/>
              <w:left w:val="single" w:color="auto" w:sz="4" w:space="0"/>
              <w:bottom w:val="nil"/>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kern w:val="0"/>
                <w:sz w:val="24"/>
              </w:rPr>
            </w:pPr>
            <w:r>
              <w:rPr>
                <w:rFonts w:ascii="仿宋_GB2312" w:hAnsi="宋体" w:eastAsia="仿宋_GB2312" w:cs="宋体"/>
                <w:bCs/>
                <w:kern w:val="0"/>
                <w:sz w:val="24"/>
              </w:rPr>
              <w:t>序号</w:t>
            </w:r>
          </w:p>
        </w:tc>
        <w:tc>
          <w:tcPr>
            <w:tcW w:w="4070" w:type="dxa"/>
            <w:vMerge w:val="restart"/>
            <w:tcBorders>
              <w:top w:val="single" w:color="auto" w:sz="4" w:space="0"/>
              <w:left w:val="single" w:color="auto" w:sz="4" w:space="0"/>
              <w:bottom w:val="nil"/>
              <w:right w:val="single" w:color="auto" w:sz="4" w:space="0"/>
            </w:tcBorders>
            <w:shd w:val="clear" w:color="auto" w:fill="auto"/>
            <w:vAlign w:val="center"/>
          </w:tcPr>
          <w:p>
            <w:pPr>
              <w:widowControl/>
              <w:adjustRightInd w:val="0"/>
              <w:snapToGrid w:val="0"/>
              <w:spacing w:line="360" w:lineRule="auto"/>
              <w:ind w:left="-106" w:right="-107" w:hanging="1"/>
              <w:jc w:val="center"/>
              <w:rPr>
                <w:rFonts w:ascii="仿宋_GB2312" w:hAnsi="宋体" w:eastAsia="仿宋_GB2312" w:cs="宋体"/>
                <w:bCs/>
                <w:kern w:val="0"/>
                <w:sz w:val="24"/>
              </w:rPr>
            </w:pPr>
            <w:r>
              <w:rPr>
                <w:rFonts w:ascii="仿宋_GB2312" w:hAnsi="宋体" w:eastAsia="仿宋_GB2312" w:cs="宋体"/>
                <w:bCs/>
                <w:kern w:val="0"/>
                <w:sz w:val="24"/>
              </w:rPr>
              <w:t>项目</w:t>
            </w:r>
          </w:p>
        </w:tc>
        <w:tc>
          <w:tcPr>
            <w:tcW w:w="79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ind w:left="-106" w:right="-107" w:hanging="1"/>
              <w:jc w:val="center"/>
              <w:rPr>
                <w:rFonts w:ascii="仿宋_GB2312" w:hAnsi="宋体" w:eastAsia="仿宋_GB2312" w:cs="宋体"/>
                <w:bCs/>
                <w:kern w:val="0"/>
                <w:sz w:val="24"/>
              </w:rPr>
            </w:pPr>
            <w:r>
              <w:rPr>
                <w:rFonts w:ascii="仿宋_GB2312" w:hAnsi="宋体" w:eastAsia="仿宋_GB2312" w:cs="宋体"/>
                <w:bCs/>
                <w:kern w:val="0"/>
                <w:sz w:val="24"/>
              </w:rPr>
              <w:t>内页码</w:t>
            </w:r>
          </w:p>
        </w:tc>
        <w:tc>
          <w:tcPr>
            <w:tcW w:w="140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ind w:left="-106" w:right="-107" w:hanging="1"/>
              <w:jc w:val="center"/>
              <w:rPr>
                <w:rFonts w:ascii="仿宋_GB2312" w:hAnsi="宋体" w:eastAsia="仿宋_GB2312" w:cs="宋体"/>
                <w:bCs/>
                <w:kern w:val="0"/>
                <w:sz w:val="24"/>
              </w:rPr>
            </w:pPr>
            <w:r>
              <w:rPr>
                <w:rFonts w:ascii="仿宋_GB2312" w:hAnsi="宋体" w:eastAsia="仿宋_GB2312" w:cs="宋体"/>
                <w:bCs/>
                <w:kern w:val="0"/>
                <w:sz w:val="24"/>
              </w:rPr>
              <w:t>报名提交</w:t>
            </w:r>
          </w:p>
          <w:p>
            <w:pPr>
              <w:widowControl/>
              <w:adjustRightInd w:val="0"/>
              <w:snapToGrid w:val="0"/>
              <w:spacing w:line="360" w:lineRule="auto"/>
              <w:ind w:left="-106" w:right="-107" w:hanging="1"/>
              <w:jc w:val="center"/>
              <w:rPr>
                <w:rFonts w:ascii="仿宋_GB2312" w:hAnsi="宋体" w:eastAsia="仿宋_GB2312" w:cs="宋体"/>
                <w:bCs/>
                <w:kern w:val="0"/>
                <w:sz w:val="24"/>
              </w:rPr>
            </w:pPr>
            <w:r>
              <w:rPr>
                <w:rFonts w:ascii="仿宋_GB2312" w:hAnsi="宋体" w:eastAsia="仿宋_GB2312" w:cs="宋体"/>
                <w:bCs/>
                <w:kern w:val="0"/>
                <w:sz w:val="24"/>
              </w:rPr>
              <w:t>资料要求</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审核情况</w:t>
            </w:r>
          </w:p>
        </w:tc>
        <w:tc>
          <w:tcPr>
            <w:tcW w:w="84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宋体"/>
                <w:kern w:val="0"/>
                <w:sz w:val="24"/>
              </w:rPr>
            </w:pPr>
            <w:r>
              <w:rPr>
                <w:rFonts w:ascii="仿宋_GB2312" w:hAnsi="宋体" w:eastAsia="仿宋_GB2312" w:cs="宋体"/>
                <w:bCs/>
                <w:kern w:val="0"/>
                <w:sz w:val="24"/>
              </w:rPr>
              <w:t>备注</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0" w:type="dxa"/>
            <w:bottom w:w="0" w:type="dxa"/>
            <w:right w:w="0" w:type="dxa"/>
          </w:tblCellMar>
        </w:tblPrEx>
        <w:trPr>
          <w:cantSplit/>
          <w:trHeight w:val="193" w:hRule="atLeast"/>
          <w:jc w:val="center"/>
        </w:trPr>
        <w:tc>
          <w:tcPr>
            <w:tcW w:w="707" w:type="dxa"/>
            <w:vMerge w:val="continue"/>
            <w:tcBorders>
              <w:top w:val="single" w:color="auto" w:sz="4" w:space="0"/>
              <w:left w:val="single" w:color="auto" w:sz="4" w:space="0"/>
              <w:bottom w:val="nil"/>
              <w:right w:val="single" w:color="auto" w:sz="4" w:space="0"/>
            </w:tcBorders>
            <w:shd w:val="clear" w:color="auto" w:fill="auto"/>
            <w:vAlign w:val="center"/>
          </w:tcPr>
          <w:p>
            <w:pPr>
              <w:spacing w:line="360" w:lineRule="auto"/>
              <w:rPr>
                <w:rFonts w:ascii="宋体" w:hAnsi="宋体" w:eastAsia="宋体" w:cs="宋体"/>
                <w:sz w:val="24"/>
              </w:rPr>
            </w:pPr>
          </w:p>
        </w:tc>
        <w:tc>
          <w:tcPr>
            <w:tcW w:w="4070" w:type="dxa"/>
            <w:vMerge w:val="continue"/>
            <w:tcBorders>
              <w:top w:val="single" w:color="auto" w:sz="4" w:space="0"/>
              <w:left w:val="single" w:color="auto" w:sz="4" w:space="0"/>
              <w:bottom w:val="nil"/>
              <w:right w:val="single" w:color="auto" w:sz="4" w:space="0"/>
            </w:tcBorders>
            <w:shd w:val="clear" w:color="auto" w:fill="auto"/>
            <w:vAlign w:val="center"/>
          </w:tcPr>
          <w:p>
            <w:pPr>
              <w:spacing w:line="360" w:lineRule="auto"/>
              <w:rPr>
                <w:rFonts w:ascii="宋体" w:hAnsi="宋体" w:eastAsia="宋体" w:cs="宋体"/>
                <w:sz w:val="24"/>
              </w:rPr>
            </w:pPr>
          </w:p>
        </w:tc>
        <w:tc>
          <w:tcPr>
            <w:tcW w:w="79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sz w:val="24"/>
              </w:rPr>
            </w:pPr>
          </w:p>
        </w:tc>
        <w:tc>
          <w:tcPr>
            <w:tcW w:w="140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sz w:val="24"/>
              </w:rPr>
            </w:pP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left"/>
              <w:rPr>
                <w:rFonts w:ascii="仿宋_GB2312" w:hAnsi="宋体" w:eastAsia="仿宋_GB2312" w:cs="宋体"/>
                <w:kern w:val="0"/>
                <w:sz w:val="24"/>
              </w:rPr>
            </w:pPr>
            <w:r>
              <w:rPr>
                <w:rFonts w:ascii="仿宋_GB2312" w:hAnsi="宋体" w:eastAsia="仿宋_GB2312" w:cs="宋体"/>
                <w:bCs/>
                <w:kern w:val="0"/>
                <w:sz w:val="24"/>
              </w:rPr>
              <w:t>(此栏不需申请人填写)</w:t>
            </w:r>
          </w:p>
        </w:tc>
        <w:tc>
          <w:tcPr>
            <w:tcW w:w="8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0" w:type="dxa"/>
            <w:bottom w:w="0" w:type="dxa"/>
            <w:right w:w="0" w:type="dxa"/>
          </w:tblCellMar>
        </w:tblPrEx>
        <w:trPr>
          <w:cantSplit/>
          <w:trHeight w:val="407" w:hRule="atLeast"/>
          <w:jc w:val="center"/>
        </w:trPr>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kern w:val="0"/>
                <w:sz w:val="24"/>
              </w:rPr>
            </w:pPr>
            <w:r>
              <w:rPr>
                <w:rFonts w:ascii="仿宋_GB2312" w:hAnsi="宋体" w:eastAsia="仿宋_GB2312" w:cs="宋体"/>
                <w:kern w:val="0"/>
                <w:sz w:val="24"/>
              </w:rPr>
              <w:t>1</w:t>
            </w:r>
          </w:p>
        </w:tc>
        <w:tc>
          <w:tcPr>
            <w:tcW w:w="4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仿宋_GB2312"/>
                <w:kern w:val="0"/>
                <w:sz w:val="24"/>
              </w:rPr>
              <w:t>经会计师事务所审计的201</w:t>
            </w:r>
            <w:r>
              <w:rPr>
                <w:rFonts w:hint="eastAsia" w:ascii="仿宋_GB2312" w:hAnsi="宋体" w:eastAsia="仿宋_GB2312" w:cs="仿宋_GB2312"/>
                <w:kern w:val="0"/>
                <w:sz w:val="24"/>
                <w:lang w:val="en-US" w:eastAsia="zh-CN"/>
              </w:rPr>
              <w:t>8</w:t>
            </w:r>
            <w:r>
              <w:rPr>
                <w:rFonts w:ascii="仿宋_GB2312" w:hAnsi="宋体" w:eastAsia="仿宋_GB2312" w:cs="仿宋_GB2312"/>
                <w:kern w:val="0"/>
                <w:sz w:val="24"/>
              </w:rPr>
              <w:t>年财务报表</w:t>
            </w:r>
          </w:p>
        </w:tc>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sz w:val="24"/>
              </w:rPr>
            </w:pPr>
            <w:r>
              <w:rPr>
                <w:rFonts w:ascii="仿宋_GB2312" w:hAnsi="宋体" w:eastAsia="仿宋_GB2312" w:cs="宋体"/>
                <w:bCs/>
                <w:kern w:val="0"/>
                <w:sz w:val="24"/>
              </w:rPr>
              <w:t>原件备查</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仿宋_GB2312"/>
                <w:sz w:val="24"/>
              </w:rPr>
            </w:pPr>
            <w:r>
              <w:rPr>
                <w:rFonts w:ascii="仿宋_GB2312" w:hAnsi="宋体" w:eastAsia="仿宋_GB2312" w:cs="宋体"/>
                <w:bCs/>
                <w:kern w:val="0"/>
                <w:sz w:val="24"/>
              </w:rPr>
              <w:t>择优资料</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0" w:type="dxa"/>
            <w:bottom w:w="0" w:type="dxa"/>
            <w:right w:w="0" w:type="dxa"/>
          </w:tblCellMar>
        </w:tblPrEx>
        <w:trPr>
          <w:cantSplit/>
          <w:trHeight w:val="746" w:hRule="atLeast"/>
          <w:jc w:val="center"/>
        </w:trPr>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_GB2312" w:hAnsi="宋体" w:eastAsia="仿宋_GB2312" w:cs="宋体"/>
                <w:kern w:val="0"/>
                <w:sz w:val="24"/>
                <w:lang w:eastAsia="zh-CN"/>
              </w:rPr>
            </w:pPr>
            <w:r>
              <w:rPr>
                <w:rFonts w:hint="eastAsia" w:ascii="仿宋_GB2312" w:hAnsi="宋体" w:eastAsia="仿宋_GB2312" w:cs="宋体"/>
                <w:kern w:val="0"/>
                <w:sz w:val="24"/>
                <w:lang w:val="en-US" w:eastAsia="zh-CN"/>
              </w:rPr>
              <w:t>2</w:t>
            </w:r>
          </w:p>
        </w:tc>
        <w:tc>
          <w:tcPr>
            <w:tcW w:w="4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仿宋_GB2312"/>
                <w:sz w:val="24"/>
              </w:rPr>
            </w:pPr>
            <w:r>
              <w:rPr>
                <w:rFonts w:ascii="仿宋_GB2312" w:hAnsi="宋体" w:eastAsia="仿宋_GB2312" w:cs="仿宋_GB2312"/>
                <w:kern w:val="0"/>
                <w:sz w:val="24"/>
              </w:rPr>
              <w:t>履约信用</w:t>
            </w:r>
          </w:p>
        </w:tc>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原件备查</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择优资料</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0" w:type="dxa"/>
            <w:bottom w:w="0" w:type="dxa"/>
            <w:right w:w="0" w:type="dxa"/>
          </w:tblCellMar>
        </w:tblPrEx>
        <w:trPr>
          <w:cantSplit/>
          <w:trHeight w:val="407" w:hRule="atLeast"/>
          <w:jc w:val="center"/>
        </w:trPr>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kern w:val="0"/>
                <w:sz w:val="24"/>
              </w:rPr>
            </w:pPr>
            <w:r>
              <w:rPr>
                <w:rFonts w:ascii="仿宋_GB2312" w:hAnsi="宋体" w:eastAsia="仿宋_GB2312" w:cs="宋体"/>
                <w:kern w:val="0"/>
                <w:sz w:val="24"/>
              </w:rPr>
              <w:t>3</w:t>
            </w:r>
          </w:p>
        </w:tc>
        <w:tc>
          <w:tcPr>
            <w:tcW w:w="4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仿宋_GB2312"/>
                <w:sz w:val="24"/>
              </w:rPr>
            </w:pPr>
            <w:r>
              <w:rPr>
                <w:rFonts w:ascii="仿宋_GB2312" w:hAnsi="宋体" w:eastAsia="仿宋_GB2312" w:cs="仿宋_GB2312"/>
                <w:kern w:val="0"/>
                <w:sz w:val="24"/>
              </w:rPr>
              <w:t>公司规模</w:t>
            </w:r>
          </w:p>
        </w:tc>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原件备查</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择优资料</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0" w:type="dxa"/>
            <w:bottom w:w="0" w:type="dxa"/>
            <w:right w:w="0" w:type="dxa"/>
          </w:tblCellMar>
        </w:tblPrEx>
        <w:trPr>
          <w:cantSplit/>
          <w:trHeight w:val="407" w:hRule="atLeast"/>
          <w:jc w:val="center"/>
        </w:trPr>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kern w:val="0"/>
                <w:sz w:val="24"/>
              </w:rPr>
            </w:pPr>
            <w:r>
              <w:rPr>
                <w:rFonts w:ascii="仿宋_GB2312" w:hAnsi="宋体" w:eastAsia="仿宋_GB2312" w:cs="宋体"/>
                <w:kern w:val="0"/>
                <w:sz w:val="24"/>
              </w:rPr>
              <w:t>4</w:t>
            </w:r>
          </w:p>
        </w:tc>
        <w:tc>
          <w:tcPr>
            <w:tcW w:w="4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仿宋_GB2312"/>
                <w:sz w:val="24"/>
              </w:rPr>
            </w:pPr>
            <w:r>
              <w:rPr>
                <w:rFonts w:ascii="仿宋_GB2312" w:hAnsi="宋体" w:eastAsia="仿宋_GB2312" w:cs="仿宋_GB2312"/>
                <w:kern w:val="0"/>
                <w:sz w:val="24"/>
              </w:rPr>
              <w:t>品牌保证资料</w:t>
            </w:r>
          </w:p>
        </w:tc>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原件备查</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择优资料</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0" w:type="dxa"/>
            <w:bottom w:w="0" w:type="dxa"/>
            <w:right w:w="0" w:type="dxa"/>
          </w:tblCellMar>
        </w:tblPrEx>
        <w:trPr>
          <w:cantSplit/>
          <w:trHeight w:val="407" w:hRule="atLeast"/>
          <w:jc w:val="center"/>
        </w:trPr>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kern w:val="0"/>
                <w:sz w:val="24"/>
              </w:rPr>
            </w:pPr>
            <w:r>
              <w:rPr>
                <w:rFonts w:ascii="仿宋_GB2312" w:hAnsi="宋体" w:eastAsia="仿宋_GB2312" w:cs="宋体"/>
                <w:kern w:val="0"/>
                <w:sz w:val="24"/>
              </w:rPr>
              <w:t>5</w:t>
            </w:r>
          </w:p>
        </w:tc>
        <w:tc>
          <w:tcPr>
            <w:tcW w:w="4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仿宋_GB2312"/>
                <w:kern w:val="0"/>
                <w:sz w:val="24"/>
              </w:rPr>
            </w:pPr>
            <w:r>
              <w:rPr>
                <w:rFonts w:ascii="仿宋_GB2312" w:hAnsi="宋体" w:eastAsia="仿宋_GB2312" w:cs="仿宋_GB2312"/>
                <w:kern w:val="0"/>
                <w:sz w:val="24"/>
              </w:rPr>
              <w:t>业绩</w:t>
            </w:r>
          </w:p>
        </w:tc>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原件核查</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择优资料</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0" w:type="dxa"/>
            <w:bottom w:w="0" w:type="dxa"/>
            <w:right w:w="0" w:type="dxa"/>
          </w:tblCellMar>
        </w:tblPrEx>
        <w:trPr>
          <w:cantSplit/>
          <w:trHeight w:val="407" w:hRule="atLeast"/>
          <w:jc w:val="center"/>
        </w:trPr>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_GB2312" w:hAnsi="宋体" w:eastAsia="仿宋_GB2312" w:cs="宋体"/>
                <w:kern w:val="0"/>
                <w:sz w:val="24"/>
                <w:lang w:eastAsia="zh-CN"/>
              </w:rPr>
            </w:pPr>
            <w:r>
              <w:rPr>
                <w:rFonts w:hint="eastAsia" w:ascii="仿宋_GB2312" w:hAnsi="宋体" w:eastAsia="仿宋_GB2312" w:cs="宋体"/>
                <w:kern w:val="0"/>
                <w:sz w:val="24"/>
                <w:lang w:val="en-US" w:eastAsia="zh-CN"/>
              </w:rPr>
              <w:t>6</w:t>
            </w:r>
          </w:p>
        </w:tc>
        <w:tc>
          <w:tcPr>
            <w:tcW w:w="40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仿宋_GB2312"/>
                <w:kern w:val="0"/>
                <w:sz w:val="24"/>
              </w:rPr>
            </w:pPr>
            <w:r>
              <w:rPr>
                <w:rFonts w:ascii="仿宋_GB2312" w:hAnsi="宋体" w:eastAsia="仿宋_GB2312" w:cs="仿宋_GB2312"/>
                <w:kern w:val="0"/>
                <w:sz w:val="24"/>
              </w:rPr>
              <w:t>项目服务能力资料</w:t>
            </w:r>
          </w:p>
        </w:tc>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原件核查</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60" w:lineRule="auto"/>
              <w:jc w:val="center"/>
              <w:rPr>
                <w:rFonts w:ascii="仿宋_GB2312" w:hAnsi="宋体" w:eastAsia="仿宋_GB2312" w:cs="宋体"/>
                <w:bCs/>
                <w:kern w:val="0"/>
                <w:sz w:val="24"/>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仿宋_GB2312" w:hAnsi="宋体" w:eastAsia="仿宋_GB2312" w:cs="宋体"/>
                <w:bCs/>
                <w:kern w:val="0"/>
                <w:sz w:val="24"/>
              </w:rPr>
            </w:pPr>
            <w:r>
              <w:rPr>
                <w:rFonts w:ascii="仿宋_GB2312" w:hAnsi="宋体" w:eastAsia="仿宋_GB2312" w:cs="宋体"/>
                <w:bCs/>
                <w:kern w:val="0"/>
                <w:sz w:val="24"/>
              </w:rPr>
              <w:t>择优资料</w:t>
            </w:r>
          </w:p>
        </w:tc>
      </w:tr>
    </w:tbl>
    <w:p>
      <w:pPr>
        <w:widowControl/>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注：</w:t>
      </w:r>
    </w:p>
    <w:p>
      <w:pPr>
        <w:widowControl/>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1、申请人如提交两项以上业绩资料，可将本附件中提交择优资料一览表第1项按照原格式扩展。</w:t>
      </w:r>
    </w:p>
    <w:p>
      <w:pPr>
        <w:widowControl/>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2、本附件一式两份，一份附于报名资料内首页，作为报名资料目录，另一份交回申请人的代表。两份表格中每页的“审核确认”栏均需双方签署。</w:t>
      </w:r>
    </w:p>
    <w:p>
      <w:pPr>
        <w:widowControl/>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3、本附件原件审核情况栏及备注栏，报名单位须留空，由招标人审核后填写。</w:t>
      </w:r>
    </w:p>
    <w:p>
      <w:pPr>
        <w:widowControl/>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4、本附件中如有修改情况，须经招标人接收资料人员和申请单位代表共同签署。</w:t>
      </w:r>
    </w:p>
    <w:p>
      <w:pPr>
        <w:widowControl/>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5、本附件中没有要求提交的资料，不作为资审不合格的依据。</w:t>
      </w:r>
    </w:p>
    <w:p>
      <w:pPr>
        <w:widowControl/>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t>6、本附件中如有标明为“择优资料”部分的资料，申请人如不提交，不被认定为资审不合格，但将影响申请人的择优结果。</w:t>
      </w:r>
    </w:p>
    <w:p>
      <w:pPr>
        <w:widowControl/>
        <w:spacing w:line="360" w:lineRule="auto"/>
        <w:jc w:val="left"/>
        <w:rPr>
          <w:rFonts w:ascii="仿宋_GB2312" w:hAnsi="宋体" w:eastAsia="仿宋_GB2312" w:cs="仿宋_GB2312"/>
          <w:kern w:val="0"/>
          <w:sz w:val="24"/>
          <w:shd w:val="clear" w:color="auto" w:fill="FFFFFF"/>
        </w:rPr>
      </w:pPr>
      <w:r>
        <w:rPr>
          <w:rFonts w:hint="eastAsia" w:ascii="仿宋_GB2312" w:hAnsi="宋体" w:eastAsia="仿宋_GB2312" w:cs="仿宋_GB2312"/>
          <w:kern w:val="0"/>
          <w:sz w:val="24"/>
          <w:shd w:val="clear" w:color="auto" w:fill="FFFFFF"/>
        </w:rPr>
        <w:t>7、未能提供原件核对的资料，在择优评分中视为未提交此项证明材料，不予评分。</w:t>
      </w:r>
    </w:p>
    <w:p>
      <w:pPr>
        <w:widowControl/>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br w:type="page"/>
      </w:r>
    </w:p>
    <w:p>
      <w:pPr>
        <w:widowControl/>
        <w:spacing w:line="360" w:lineRule="auto"/>
        <w:jc w:val="left"/>
        <w:rPr>
          <w:rFonts w:ascii="仿宋_GB2312" w:hAnsi="宋体" w:eastAsia="仿宋_GB2312" w:cs="仿宋_GB2312"/>
          <w:sz w:val="24"/>
          <w:shd w:val="clear" w:color="auto" w:fill="FFFFFF"/>
        </w:rPr>
      </w:pPr>
      <w:r>
        <w:rPr>
          <w:rFonts w:ascii="仿宋_GB2312" w:hAnsi="宋体" w:eastAsia="仿宋_GB2312" w:cs="仿宋_GB2312"/>
          <w:kern w:val="0"/>
          <w:sz w:val="24"/>
          <w:shd w:val="clear" w:color="auto" w:fill="FFFFFF"/>
        </w:rPr>
        <w:t>附件五：</w:t>
      </w:r>
    </w:p>
    <w:p>
      <w:pPr>
        <w:pStyle w:val="2"/>
        <w:widowControl/>
        <w:spacing w:before="260" w:after="260" w:line="360" w:lineRule="auto"/>
        <w:jc w:val="center"/>
        <w:rPr>
          <w:rFonts w:hint="default" w:ascii="仿宋_GB2312" w:eastAsia="仿宋_GB2312" w:cs="宋体"/>
          <w:sz w:val="24"/>
          <w:szCs w:val="24"/>
          <w:shd w:val="clear" w:color="auto" w:fill="FFFFFF"/>
        </w:rPr>
      </w:pPr>
      <w:r>
        <w:rPr>
          <w:rFonts w:hint="default" w:ascii="仿宋_GB2312" w:eastAsia="仿宋_GB2312" w:cs="宋体"/>
          <w:sz w:val="24"/>
          <w:szCs w:val="24"/>
          <w:shd w:val="clear" w:color="auto" w:fill="FFFFFF"/>
        </w:rPr>
        <w:t>申请人声明</w:t>
      </w:r>
    </w:p>
    <w:p>
      <w:pPr>
        <w:widowControl/>
        <w:spacing w:line="360" w:lineRule="auto"/>
        <w:jc w:val="left"/>
        <w:rPr>
          <w:rFonts w:ascii="仿宋_GB2312" w:hAnsi="宋体" w:eastAsia="仿宋_GB2312" w:cs="宋体"/>
          <w:kern w:val="0"/>
          <w:sz w:val="24"/>
          <w:shd w:val="clear" w:color="auto" w:fill="FFFFFF"/>
        </w:rPr>
      </w:pPr>
      <w:r>
        <w:rPr>
          <w:rFonts w:hint="eastAsia" w:ascii="仿宋_GB2312" w:hAnsi="宋体" w:eastAsia="仿宋_GB2312" w:cs="宋体"/>
          <w:kern w:val="0"/>
          <w:sz w:val="24"/>
          <w:shd w:val="clear" w:color="auto" w:fill="FFFFFF"/>
        </w:rPr>
        <w:t>广东一新长城建筑集团有限公司</w:t>
      </w:r>
      <w:r>
        <w:rPr>
          <w:rFonts w:ascii="仿宋_GB2312" w:hAnsi="宋体" w:eastAsia="仿宋_GB2312" w:cs="宋体"/>
          <w:kern w:val="0"/>
          <w:sz w:val="24"/>
          <w:shd w:val="clear" w:color="auto" w:fill="FFFFFF"/>
        </w:rPr>
        <w:t>：</w:t>
      </w:r>
    </w:p>
    <w:p>
      <w:pPr>
        <w:widowControl/>
        <w:spacing w:line="360" w:lineRule="auto"/>
        <w:ind w:firstLine="480" w:firstLineChars="20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本公司就参加投标工作，作出郑重声明：</w:t>
      </w:r>
    </w:p>
    <w:p>
      <w:pPr>
        <w:widowControl/>
        <w:spacing w:line="360" w:lineRule="auto"/>
        <w:ind w:firstLine="480" w:firstLineChars="20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一、本公司保证投标报名材料及其后提供的一切材料都是真实的。</w:t>
      </w:r>
    </w:p>
    <w:p>
      <w:pPr>
        <w:widowControl/>
        <w:spacing w:line="360" w:lineRule="auto"/>
        <w:ind w:firstLine="480" w:firstLineChars="20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二、本公司保证不与其他单位围标、串标，不出让投标资格，不向招标人或评标委员会成员行贿。</w:t>
      </w:r>
    </w:p>
    <w:p>
      <w:pPr>
        <w:pStyle w:val="6"/>
        <w:widowControl/>
        <w:spacing w:line="360" w:lineRule="auto"/>
        <w:ind w:firstLine="480" w:firstLineChars="200"/>
        <w:rPr>
          <w:rFonts w:ascii="仿宋_GB2312" w:hAnsi="宋体" w:eastAsia="仿宋_GB2312" w:cs="仿宋_GB2312"/>
          <w:shd w:val="clear" w:color="auto" w:fill="FFFFFF"/>
        </w:rPr>
      </w:pPr>
      <w:r>
        <w:rPr>
          <w:rFonts w:ascii="仿宋_GB2312" w:hAnsi="宋体" w:eastAsia="仿宋_GB2312" w:cs="宋体"/>
          <w:shd w:val="clear" w:color="auto" w:fill="FFFFFF"/>
        </w:rPr>
        <w:t>三、本公司没有处于被责令停业的状态；没有处于被建设行政主管部门取消投标资格的处罚期内；没有处于财产被接管、冻结、破产的状态；在投标报名截止日期前三年内没有建设行政主管部门已书面认定的重大工程质量问题；在广州市人民检察院行贿犯罪档案查询结果中，本公司没有在投标报名截止时间前三年内被人民法院判决犯有行贿罪的记录</w:t>
      </w:r>
      <w:r>
        <w:rPr>
          <w:rFonts w:ascii="仿宋_GB2312" w:hAnsi="宋体" w:eastAsia="仿宋_GB2312" w:cs="仿宋_GB2312"/>
          <w:shd w:val="clear" w:color="auto" w:fill="FFFFFF"/>
        </w:rPr>
        <w:t>；在投标报名截止日期前三年内，本公司没有弄虚作假骗取中标、围标串标行为。</w:t>
      </w:r>
    </w:p>
    <w:p>
      <w:pPr>
        <w:widowControl/>
        <w:spacing w:line="360" w:lineRule="auto"/>
        <w:ind w:firstLine="480" w:firstLineChars="200"/>
        <w:jc w:val="left"/>
        <w:rPr>
          <w:rFonts w:ascii="仿宋_GB2312" w:hAnsi="宋体" w:eastAsia="仿宋_GB2312" w:cs="仿宋_GB2312"/>
          <w:sz w:val="24"/>
          <w:shd w:val="clear" w:color="auto" w:fill="FFFFFF"/>
        </w:rPr>
      </w:pPr>
      <w:r>
        <w:rPr>
          <w:rFonts w:ascii="仿宋_GB2312" w:hAnsi="宋体" w:eastAsia="仿宋_GB2312" w:cs="宋体"/>
          <w:kern w:val="0"/>
          <w:sz w:val="24"/>
          <w:shd w:val="clear" w:color="auto" w:fill="FFFFFF"/>
        </w:rPr>
        <w:t>四、</w:t>
      </w:r>
      <w:r>
        <w:rPr>
          <w:rFonts w:ascii="仿宋_GB2312" w:hAnsi="宋体" w:eastAsia="仿宋_GB2312" w:cs="仿宋_GB2312"/>
          <w:kern w:val="0"/>
          <w:sz w:val="24"/>
          <w:shd w:val="clear" w:color="auto" w:fill="FFFFFF"/>
        </w:rPr>
        <w:t>本公司及其有隶属关系的机构，没有参加本项目招标文件的编写工作；本公司与本次招标的招标代理机构没有隶属关系或其他利害关系；本公司与本工程的承包单位以及建筑材料、建筑构配件和设备供应单位没有隶属关系或其他利害关系。</w:t>
      </w:r>
    </w:p>
    <w:p>
      <w:pPr>
        <w:widowControl/>
        <w:spacing w:line="360" w:lineRule="auto"/>
        <w:ind w:firstLine="480" w:firstLineChars="20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本公司违反上述保证，或本声明陈述与事实不符，经查实，本公司愿意接受公开通报，承担由此带来的法律后果，并自愿停止参加广州市行政辖区内的招标投标活动三个月。</w:t>
      </w:r>
    </w:p>
    <w:p>
      <w:pPr>
        <w:widowControl/>
        <w:spacing w:line="360" w:lineRule="auto"/>
        <w:ind w:firstLine="480" w:firstLineChars="20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特此声明</w:t>
      </w:r>
    </w:p>
    <w:p>
      <w:pPr>
        <w:widowControl/>
        <w:spacing w:line="360" w:lineRule="auto"/>
        <w:ind w:firstLine="4320" w:firstLineChars="1800"/>
        <w:jc w:val="left"/>
        <w:rPr>
          <w:rFonts w:ascii="仿宋_GB2312" w:hAnsi="宋体" w:eastAsia="仿宋_GB2312" w:cs="宋体"/>
          <w:kern w:val="0"/>
          <w:sz w:val="24"/>
          <w:shd w:val="clear" w:color="auto" w:fill="FFFFFF"/>
        </w:rPr>
      </w:pPr>
    </w:p>
    <w:p>
      <w:pPr>
        <w:widowControl/>
        <w:spacing w:line="360" w:lineRule="auto"/>
        <w:ind w:firstLine="4320" w:firstLineChars="180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声明企业：</w:t>
      </w:r>
    </w:p>
    <w:p>
      <w:pPr>
        <w:widowControl/>
        <w:spacing w:line="360" w:lineRule="auto"/>
        <w:ind w:firstLine="5880" w:firstLineChars="245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年   月  日</w:t>
      </w:r>
    </w:p>
    <w:p>
      <w:pPr>
        <w:widowControl/>
        <w:spacing w:line="360" w:lineRule="auto"/>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法定代表人签字：</w:t>
      </w:r>
    </w:p>
    <w:p>
      <w:pPr>
        <w:widowControl/>
        <w:spacing w:line="360" w:lineRule="auto"/>
        <w:ind w:firstLine="5880" w:firstLineChars="245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(企业公章)</w:t>
      </w:r>
    </w:p>
    <w:p>
      <w:pPr>
        <w:widowControl/>
        <w:spacing w:line="360" w:lineRule="auto"/>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br w:type="page"/>
      </w:r>
    </w:p>
    <w:p>
      <w:pPr>
        <w:widowControl/>
        <w:spacing w:line="360" w:lineRule="auto"/>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附件六：</w:t>
      </w:r>
    </w:p>
    <w:p>
      <w:pPr>
        <w:widowControl/>
        <w:spacing w:line="360" w:lineRule="auto"/>
        <w:jc w:val="left"/>
        <w:rPr>
          <w:rFonts w:ascii="仿宋_GB2312" w:hAnsi="宋体" w:eastAsia="仿宋_GB2312" w:cs="宋体"/>
          <w:kern w:val="0"/>
          <w:sz w:val="24"/>
          <w:shd w:val="clear" w:color="auto" w:fill="FFFFFF"/>
        </w:rPr>
      </w:pPr>
    </w:p>
    <w:p>
      <w:pPr>
        <w:pStyle w:val="2"/>
        <w:widowControl/>
        <w:spacing w:before="260" w:after="260" w:line="360" w:lineRule="auto"/>
        <w:jc w:val="center"/>
        <w:rPr>
          <w:rFonts w:hint="default" w:ascii="仿宋_GB2312" w:eastAsia="仿宋_GB2312" w:cs="宋体"/>
          <w:sz w:val="24"/>
          <w:szCs w:val="24"/>
          <w:shd w:val="clear" w:color="auto" w:fill="FFFFFF"/>
        </w:rPr>
      </w:pPr>
      <w:r>
        <w:rPr>
          <w:rFonts w:hint="default" w:ascii="仿宋_GB2312" w:eastAsia="仿宋_GB2312" w:cs="宋体"/>
          <w:sz w:val="24"/>
          <w:szCs w:val="24"/>
          <w:shd w:val="clear" w:color="auto" w:fill="FFFFFF"/>
        </w:rPr>
        <w:t>申请人承诺</w:t>
      </w:r>
    </w:p>
    <w:p>
      <w:pPr>
        <w:widowControl/>
        <w:spacing w:line="360" w:lineRule="auto"/>
        <w:jc w:val="left"/>
        <w:rPr>
          <w:rFonts w:ascii="仿宋_GB2312" w:hAnsi="宋体" w:eastAsia="仿宋_GB2312" w:cs="宋体"/>
          <w:kern w:val="0"/>
          <w:sz w:val="24"/>
          <w:shd w:val="clear" w:color="auto" w:fill="FFFFFF"/>
        </w:rPr>
      </w:pPr>
      <w:r>
        <w:rPr>
          <w:rFonts w:hint="eastAsia" w:ascii="仿宋_GB2312" w:hAnsi="宋体" w:eastAsia="仿宋_GB2312" w:cs="宋体"/>
          <w:kern w:val="0"/>
          <w:sz w:val="24"/>
          <w:shd w:val="clear" w:color="auto" w:fill="FFFFFF"/>
        </w:rPr>
        <w:t>广东一新长城建筑集团有限公司</w:t>
      </w:r>
      <w:r>
        <w:rPr>
          <w:rFonts w:ascii="仿宋_GB2312" w:hAnsi="宋体" w:eastAsia="仿宋_GB2312" w:cs="宋体"/>
          <w:kern w:val="0"/>
          <w:sz w:val="24"/>
          <w:shd w:val="clear" w:color="auto" w:fill="FFFFFF"/>
        </w:rPr>
        <w:t>：</w:t>
      </w:r>
    </w:p>
    <w:p>
      <w:pPr>
        <w:widowControl/>
        <w:spacing w:line="360" w:lineRule="auto"/>
        <w:ind w:firstLine="480" w:firstLineChars="20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本公司就参加投标工作，作出郑重承诺：</w:t>
      </w:r>
    </w:p>
    <w:p>
      <w:pPr>
        <w:widowControl/>
        <w:spacing w:line="360" w:lineRule="auto"/>
        <w:ind w:firstLine="480" w:firstLineChars="200"/>
        <w:jc w:val="left"/>
        <w:rPr>
          <w:rFonts w:ascii="仿宋_GB2312" w:hAnsi="宋体" w:eastAsia="仿宋_GB2312" w:cs="仿宋_GB2312"/>
          <w:sz w:val="24"/>
          <w:shd w:val="clear" w:color="auto" w:fill="FFFFFF"/>
        </w:rPr>
      </w:pPr>
      <w:r>
        <w:rPr>
          <w:rFonts w:ascii="仿宋_GB2312" w:hAnsi="宋体" w:eastAsia="仿宋_GB2312" w:cs="宋体"/>
          <w:kern w:val="0"/>
          <w:sz w:val="24"/>
          <w:shd w:val="clear" w:color="auto" w:fill="FFFFFF"/>
        </w:rPr>
        <w:t>本公司承诺遵守招标人现行或今后制定的关于</w:t>
      </w:r>
      <w:r>
        <w:rPr>
          <w:rFonts w:hint="eastAsia" w:ascii="仿宋_GB2312" w:hAnsi="宋体" w:eastAsia="仿宋_GB2312" w:cs="宋体"/>
          <w:kern w:val="0"/>
          <w:sz w:val="24"/>
          <w:shd w:val="clear" w:color="auto" w:fill="FFFFFF"/>
        </w:rPr>
        <w:t>广东一新长城建筑集团有限公司</w:t>
      </w:r>
      <w:r>
        <w:rPr>
          <w:rFonts w:ascii="仿宋_GB2312" w:hAnsi="宋体" w:eastAsia="仿宋_GB2312" w:cs="宋体"/>
          <w:kern w:val="0"/>
          <w:sz w:val="24"/>
          <w:shd w:val="clear" w:color="auto" w:fill="FFFFFF"/>
        </w:rPr>
        <w:t>钢筋材料采购类合格供应商企业库管理的有关规定、考核要求及相应处罚。</w:t>
      </w:r>
    </w:p>
    <w:p>
      <w:pPr>
        <w:widowControl/>
        <w:spacing w:line="360" w:lineRule="auto"/>
        <w:ind w:firstLine="480" w:firstLineChars="200"/>
        <w:jc w:val="left"/>
        <w:rPr>
          <w:rFonts w:ascii="仿宋_GB2312" w:hAnsi="宋体" w:eastAsia="仿宋_GB2312" w:cs="宋体"/>
          <w:kern w:val="0"/>
          <w:sz w:val="24"/>
          <w:shd w:val="clear" w:color="auto" w:fill="FFFFFF"/>
        </w:rPr>
      </w:pPr>
    </w:p>
    <w:p>
      <w:pPr>
        <w:widowControl/>
        <w:spacing w:line="360" w:lineRule="auto"/>
        <w:ind w:firstLine="480" w:firstLineChars="200"/>
        <w:jc w:val="left"/>
        <w:rPr>
          <w:rFonts w:ascii="仿宋_GB2312" w:hAnsi="宋体" w:eastAsia="仿宋_GB2312" w:cs="宋体"/>
          <w:kern w:val="0"/>
          <w:sz w:val="24"/>
          <w:shd w:val="clear" w:color="auto" w:fill="FFFFFF"/>
        </w:rPr>
      </w:pPr>
    </w:p>
    <w:p>
      <w:pPr>
        <w:widowControl/>
        <w:spacing w:line="360" w:lineRule="auto"/>
        <w:ind w:firstLine="480" w:firstLineChars="200"/>
        <w:jc w:val="left"/>
        <w:rPr>
          <w:rFonts w:ascii="仿宋_GB2312" w:hAnsi="宋体" w:eastAsia="仿宋_GB2312" w:cs="宋体"/>
          <w:kern w:val="0"/>
          <w:sz w:val="24"/>
          <w:shd w:val="clear" w:color="auto" w:fill="FFFFFF"/>
        </w:rPr>
      </w:pPr>
    </w:p>
    <w:p>
      <w:pPr>
        <w:widowControl/>
        <w:spacing w:line="360" w:lineRule="auto"/>
        <w:ind w:firstLine="480" w:firstLineChars="200"/>
        <w:jc w:val="left"/>
        <w:rPr>
          <w:rFonts w:ascii="仿宋_GB2312" w:hAnsi="宋体" w:eastAsia="仿宋_GB2312" w:cs="宋体"/>
          <w:kern w:val="0"/>
          <w:sz w:val="24"/>
          <w:shd w:val="clear" w:color="auto" w:fill="FFFFFF"/>
        </w:rPr>
      </w:pPr>
    </w:p>
    <w:p>
      <w:pPr>
        <w:widowControl/>
        <w:spacing w:line="360" w:lineRule="auto"/>
        <w:ind w:firstLine="480" w:firstLineChars="200"/>
        <w:jc w:val="left"/>
        <w:rPr>
          <w:rFonts w:ascii="仿宋_GB2312" w:hAnsi="宋体" w:eastAsia="仿宋_GB2312" w:cs="宋体"/>
          <w:kern w:val="0"/>
          <w:sz w:val="24"/>
          <w:shd w:val="clear" w:color="auto" w:fill="FFFFFF"/>
        </w:rPr>
      </w:pPr>
    </w:p>
    <w:p>
      <w:pPr>
        <w:widowControl/>
        <w:spacing w:line="360" w:lineRule="auto"/>
        <w:ind w:firstLine="480" w:firstLineChars="200"/>
        <w:jc w:val="left"/>
        <w:rPr>
          <w:rFonts w:ascii="仿宋_GB2312" w:hAnsi="宋体" w:eastAsia="仿宋_GB2312" w:cs="宋体"/>
          <w:kern w:val="0"/>
          <w:sz w:val="24"/>
          <w:shd w:val="clear" w:color="auto" w:fill="FFFFFF"/>
        </w:rPr>
      </w:pPr>
    </w:p>
    <w:p>
      <w:pPr>
        <w:widowControl/>
        <w:spacing w:line="360" w:lineRule="auto"/>
        <w:ind w:firstLine="480" w:firstLineChars="200"/>
        <w:jc w:val="left"/>
        <w:rPr>
          <w:rFonts w:ascii="仿宋_GB2312" w:hAnsi="宋体" w:eastAsia="仿宋_GB2312" w:cs="宋体"/>
          <w:kern w:val="0"/>
          <w:sz w:val="24"/>
          <w:shd w:val="clear" w:color="auto" w:fill="FFFFFF"/>
        </w:rPr>
      </w:pPr>
    </w:p>
    <w:p>
      <w:pPr>
        <w:widowControl/>
        <w:spacing w:line="360" w:lineRule="auto"/>
        <w:ind w:firstLine="480" w:firstLineChars="20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特此承诺</w:t>
      </w:r>
    </w:p>
    <w:p>
      <w:pPr>
        <w:widowControl/>
        <w:spacing w:line="360" w:lineRule="auto"/>
        <w:ind w:firstLine="4320" w:firstLineChars="1800"/>
        <w:jc w:val="left"/>
        <w:rPr>
          <w:rFonts w:ascii="仿宋_GB2312" w:hAnsi="宋体" w:eastAsia="仿宋_GB2312" w:cs="宋体"/>
          <w:kern w:val="0"/>
          <w:sz w:val="24"/>
          <w:shd w:val="clear" w:color="auto" w:fill="FFFFFF"/>
        </w:rPr>
      </w:pPr>
    </w:p>
    <w:p>
      <w:pPr>
        <w:widowControl/>
        <w:spacing w:line="360" w:lineRule="auto"/>
        <w:ind w:firstLine="4320" w:firstLineChars="180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承诺企业：</w:t>
      </w:r>
    </w:p>
    <w:p>
      <w:pPr>
        <w:widowControl/>
        <w:spacing w:line="360" w:lineRule="auto"/>
        <w:ind w:firstLine="5880" w:firstLineChars="245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年   月  日</w:t>
      </w:r>
    </w:p>
    <w:p>
      <w:pPr>
        <w:widowControl/>
        <w:spacing w:line="360" w:lineRule="auto"/>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法定代表人签字：</w:t>
      </w:r>
    </w:p>
    <w:p>
      <w:pPr>
        <w:widowControl/>
        <w:spacing w:line="360" w:lineRule="auto"/>
        <w:ind w:firstLine="5880" w:firstLineChars="2450"/>
        <w:jc w:val="left"/>
        <w:rPr>
          <w:rFonts w:ascii="仿宋_GB2312" w:hAnsi="宋体" w:eastAsia="仿宋_GB2312" w:cs="宋体"/>
          <w:kern w:val="0"/>
          <w:sz w:val="24"/>
          <w:shd w:val="clear" w:color="auto" w:fill="FFFFFF"/>
        </w:rPr>
      </w:pPr>
      <w:r>
        <w:rPr>
          <w:rFonts w:ascii="仿宋_GB2312" w:hAnsi="宋体" w:eastAsia="仿宋_GB2312" w:cs="宋体"/>
          <w:kern w:val="0"/>
          <w:sz w:val="24"/>
          <w:shd w:val="clear" w:color="auto" w:fill="FFFFFF"/>
        </w:rPr>
        <w:t>(企业公章)</w:t>
      </w:r>
    </w:p>
    <w:p>
      <w:pPr>
        <w:widowControl/>
        <w:spacing w:line="360" w:lineRule="auto"/>
        <w:jc w:val="left"/>
        <w:rPr>
          <w:rFonts w:ascii="仿宋_GB2312" w:hAnsi="宋体" w:eastAsia="仿宋_GB2312" w:cs="仿宋_GB2312"/>
          <w:sz w:val="24"/>
          <w:shd w:val="clear" w:color="auto" w:fill="FFFFFF"/>
        </w:rPr>
      </w:pPr>
    </w:p>
    <w:p>
      <w:pPr>
        <w:widowControl/>
        <w:spacing w:line="360" w:lineRule="auto"/>
        <w:jc w:val="left"/>
        <w:rPr>
          <w:rFonts w:ascii="仿宋_GB2312" w:hAnsi="宋体" w:eastAsia="仿宋_GB2312" w:cs="仿宋_GB2312"/>
          <w:kern w:val="0"/>
          <w:sz w:val="24"/>
          <w:shd w:val="clear" w:color="auto" w:fill="FFFFFF"/>
        </w:rPr>
      </w:pPr>
      <w:r>
        <w:rPr>
          <w:rFonts w:ascii="仿宋_GB2312" w:hAnsi="宋体" w:eastAsia="仿宋_GB2312" w:cs="仿宋_GB2312"/>
          <w:kern w:val="0"/>
          <w:sz w:val="24"/>
          <w:shd w:val="clear" w:color="auto" w:fill="FFFFFF"/>
        </w:rPr>
        <w:br w:type="page"/>
      </w:r>
    </w:p>
    <w:p>
      <w:pPr>
        <w:widowControl/>
        <w:spacing w:line="360" w:lineRule="auto"/>
        <w:jc w:val="left"/>
        <w:rPr>
          <w:rFonts w:hint="eastAsia" w:ascii="仿宋" w:hAnsi="仿宋" w:eastAsia="仿宋" w:cs="仿宋"/>
          <w:sz w:val="24"/>
          <w:shd w:val="clear" w:color="auto" w:fill="FFFFFF"/>
        </w:rPr>
      </w:pPr>
      <w:r>
        <w:rPr>
          <w:rFonts w:hint="eastAsia" w:ascii="仿宋" w:hAnsi="仿宋" w:eastAsia="仿宋" w:cs="仿宋"/>
          <w:kern w:val="0"/>
          <w:sz w:val="24"/>
          <w:shd w:val="clear" w:color="auto" w:fill="FFFFFF"/>
        </w:rPr>
        <w:t>附件七：</w:t>
      </w:r>
    </w:p>
    <w:p>
      <w:pPr>
        <w:widowControl/>
        <w:spacing w:beforeAutospacing="1" w:afterAutospacing="1" w:line="360" w:lineRule="auto"/>
        <w:jc w:val="center"/>
        <w:rPr>
          <w:rFonts w:hint="eastAsia" w:ascii="仿宋" w:hAnsi="仿宋" w:eastAsia="仿宋" w:cs="仿宋"/>
          <w:b/>
          <w:kern w:val="0"/>
          <w:sz w:val="24"/>
          <w:shd w:val="clear" w:color="auto" w:fill="FFFFFF"/>
        </w:rPr>
      </w:pPr>
      <w:r>
        <w:rPr>
          <w:rFonts w:hint="eastAsia" w:ascii="仿宋" w:hAnsi="仿宋" w:eastAsia="仿宋" w:cs="仿宋"/>
          <w:b/>
          <w:kern w:val="0"/>
          <w:sz w:val="32"/>
          <w:szCs w:val="32"/>
          <w:shd w:val="clear" w:color="auto" w:fill="FFFFFF"/>
        </w:rPr>
        <w:t>钢筋供应商管理要求</w:t>
      </w:r>
      <w:bookmarkStart w:id="0" w:name="_Toc389635399"/>
      <w:bookmarkEnd w:id="0"/>
    </w:p>
    <w:p>
      <w:pPr>
        <w:widowControl/>
        <w:spacing w:line="360" w:lineRule="auto"/>
        <w:jc w:val="left"/>
        <w:rPr>
          <w:rFonts w:hint="eastAsia" w:ascii="仿宋" w:hAnsi="仿宋" w:eastAsia="仿宋" w:cs="仿宋"/>
          <w:sz w:val="24"/>
          <w:shd w:val="clear" w:color="auto" w:fill="FFFFFF"/>
        </w:rPr>
      </w:pPr>
      <w:r>
        <w:rPr>
          <w:rFonts w:hint="eastAsia" w:ascii="仿宋" w:hAnsi="仿宋" w:eastAsia="仿宋" w:cs="仿宋"/>
          <w:b/>
          <w:kern w:val="0"/>
          <w:sz w:val="24"/>
          <w:shd w:val="clear" w:color="auto" w:fill="FFFFFF"/>
        </w:rPr>
        <w:t>1项目实施要求</w:t>
      </w:r>
    </w:p>
    <w:p>
      <w:pPr>
        <w:widowControl/>
        <w:tabs>
          <w:tab w:val="left" w:pos="1080"/>
          <w:tab w:val="left" w:pos="168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1）   合格供应商必须具有健全稳定的组织机构。</w:t>
      </w:r>
    </w:p>
    <w:p>
      <w:pPr>
        <w:widowControl/>
        <w:tabs>
          <w:tab w:val="left" w:pos="108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2）   合格供应商必须具备履行合同所需的人力、财力、物力。</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3）   合格供应商仓库的原材均分仓贮存、专料专仓，具有明显的标识；有防潮、防雨雪措施；具有外联试验室，能独立完成钢材所需的各项试验要求。</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4）   合格供应商自觉接受土建监理、材料管控服务商、业主的监督，遵守招标人现行或今后制定的关于广东一新长城建筑集团有限公司钢筋材料采购类合格供应商企业库管理的有关规定、考核要求及相应处罚。严格按照规范要求、设计要求及采购人有关规定进行原材与半成品的试验，试验资料用纸质文件和电子文档的形式同时上报；确保供应能力满足施工需要，及时到货。</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5）   钢材原材检测、验收、贮存和使用应符合国家和省市的建设工程规定要求，并且钢材原材必须按品种、规格分别存放、严禁混放混用。</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6）   试件取样、取样频率和强度检验应符合相应国家及行业标准且满足建设工程规定要求。</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7）   钢材检测报告及其他证明文件必须及时、真实，并作为验收工程时的必备档案。</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8）   钢材进场必须具备出厂合格证、质量证明书，如发现供应商伪造出厂合格证、质量证明书的，取消供应商入库资格，列入业主单位黑名单并承担相应的违约及法律责任。</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9）   合格供应商拟供应的钢材品牌及相应的代理、销售证明材料均须向采购人备案，备案通过后方可纳入供应范围。未经采购人批准的钢筋品牌不得选用，不得进入施工现场，严禁用于工程实体。</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10）  合格供应商提供的货物必须由厂家直接供应或由卖方从厂家采购供应至工地（加工厂）。（不得经第三方采购供应）</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 xml:space="preserve">11）  </w:t>
      </w:r>
      <w:r>
        <w:rPr>
          <w:rFonts w:hint="eastAsia" w:ascii="仿宋" w:hAnsi="仿宋" w:eastAsia="仿宋" w:cs="仿宋"/>
          <w:kern w:val="0"/>
          <w:sz w:val="24"/>
          <w:shd w:val="clear" w:color="auto" w:fill="FFFFFF"/>
        </w:rPr>
        <w:t>合格供应商需具备其他供应管理办公必需的设施。</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 xml:space="preserve">12）  </w:t>
      </w:r>
      <w:r>
        <w:rPr>
          <w:rFonts w:hint="eastAsia" w:ascii="仿宋" w:hAnsi="仿宋" w:eastAsia="仿宋" w:cs="仿宋"/>
          <w:kern w:val="0"/>
          <w:sz w:val="24"/>
          <w:shd w:val="clear" w:color="auto" w:fill="FFFFFF"/>
        </w:rPr>
        <w:t>合格供应商应为业主的管理人员往返材料生产、储存、供应地点提供必要的交通出行便利。</w:t>
      </w:r>
    </w:p>
    <w:p>
      <w:pPr>
        <w:widowControl/>
        <w:tabs>
          <w:tab w:val="left" w:pos="1080"/>
          <w:tab w:val="left" w:pos="1350"/>
        </w:tabs>
        <w:adjustRightInd w:val="0"/>
        <w:spacing w:line="360" w:lineRule="auto"/>
        <w:ind w:left="1080" w:hanging="57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 xml:space="preserve">13）  </w:t>
      </w:r>
      <w:r>
        <w:rPr>
          <w:rFonts w:hint="eastAsia" w:ascii="仿宋" w:hAnsi="仿宋" w:eastAsia="仿宋" w:cs="仿宋"/>
          <w:kern w:val="0"/>
          <w:sz w:val="24"/>
          <w:shd w:val="clear" w:color="auto" w:fill="FFFFFF"/>
        </w:rPr>
        <w:t>为确保材料供应质量，提高管理水平，合格供应商应对材料供应过程中遇到的技术难题、市场风险等，如生产商能力、技术更新、政策法规变化等，组织相关部门人员考察、培训，必要时还应组织专家会晤。</w:t>
      </w:r>
    </w:p>
    <w:p>
      <w:pPr>
        <w:pStyle w:val="6"/>
        <w:tabs>
          <w:tab w:val="left" w:pos="907"/>
        </w:tabs>
        <w:spacing w:line="360" w:lineRule="auto"/>
        <w:ind w:left="908" w:hanging="397"/>
        <w:rPr>
          <w:rFonts w:hint="eastAsia" w:ascii="仿宋" w:hAnsi="仿宋" w:eastAsia="仿宋" w:cs="仿宋"/>
          <w:shd w:val="clear" w:color="auto" w:fill="FFFFFF"/>
        </w:rPr>
      </w:pPr>
      <w:r>
        <w:rPr>
          <w:rFonts w:hint="eastAsia" w:ascii="仿宋" w:hAnsi="仿宋" w:eastAsia="仿宋" w:cs="仿宋"/>
          <w:shd w:val="clear" w:color="auto" w:fill="FFFFFF"/>
        </w:rPr>
        <w:t>14）    合格供应商为本项目雇用的特殊工种的工人和操作人员应受过专门的培训并已取得政府有关管理部门规定的上岗证书。这些特殊工种包括但不限于：吊装、指挥、司索人员等。</w:t>
      </w:r>
    </w:p>
    <w:p>
      <w:pPr>
        <w:widowControl/>
        <w:tabs>
          <w:tab w:val="left" w:pos="1080"/>
          <w:tab w:val="left" w:pos="1350"/>
        </w:tabs>
        <w:adjustRightInd w:val="0"/>
        <w:spacing w:line="360" w:lineRule="auto"/>
        <w:ind w:left="1080"/>
        <w:jc w:val="left"/>
        <w:rPr>
          <w:rFonts w:hint="eastAsia" w:ascii="仿宋" w:hAnsi="仿宋" w:eastAsia="仿宋" w:cs="仿宋"/>
          <w:kern w:val="0"/>
          <w:sz w:val="24"/>
          <w:shd w:val="clear" w:color="auto" w:fill="FFFFFF"/>
          <w:lang w:val="zh-CN"/>
        </w:rPr>
      </w:pPr>
    </w:p>
    <w:p>
      <w:pPr>
        <w:widowControl/>
        <w:spacing w:line="360" w:lineRule="auto"/>
        <w:jc w:val="left"/>
        <w:rPr>
          <w:rFonts w:hint="eastAsia" w:ascii="仿宋" w:hAnsi="仿宋" w:eastAsia="仿宋" w:cs="仿宋"/>
          <w:b/>
          <w:sz w:val="24"/>
          <w:shd w:val="clear" w:color="auto" w:fill="FFFFFF"/>
        </w:rPr>
      </w:pPr>
      <w:r>
        <w:rPr>
          <w:rFonts w:hint="eastAsia" w:ascii="仿宋" w:hAnsi="仿宋" w:eastAsia="仿宋" w:cs="仿宋"/>
          <w:b/>
          <w:kern w:val="0"/>
          <w:sz w:val="24"/>
          <w:shd w:val="clear" w:color="auto" w:fill="FFFFFF"/>
        </w:rPr>
        <w:t>2技术标准</w:t>
      </w:r>
    </w:p>
    <w:p>
      <w:pPr>
        <w:widowControl/>
        <w:tabs>
          <w:tab w:val="left" w:pos="720"/>
        </w:tabs>
        <w:spacing w:line="360" w:lineRule="auto"/>
        <w:ind w:firstLine="480" w:firstLineChars="200"/>
        <w:jc w:val="left"/>
        <w:rPr>
          <w:rFonts w:hint="eastAsia" w:ascii="仿宋" w:hAnsi="仿宋" w:eastAsia="仿宋" w:cs="仿宋"/>
          <w:sz w:val="24"/>
          <w:shd w:val="clear" w:color="auto" w:fill="FFFFFF"/>
        </w:rPr>
      </w:pPr>
      <w:r>
        <w:rPr>
          <w:rFonts w:hint="eastAsia" w:ascii="仿宋" w:hAnsi="仿宋" w:eastAsia="仿宋" w:cs="仿宋"/>
          <w:kern w:val="0"/>
          <w:sz w:val="24"/>
          <w:shd w:val="clear" w:color="auto" w:fill="FFFFFF"/>
        </w:rPr>
        <w:t>钢材质量必须满足下列技术规范规程的要求：</w:t>
      </w:r>
    </w:p>
    <w:p>
      <w:pPr>
        <w:widowControl/>
        <w:tabs>
          <w:tab w:val="left" w:pos="900"/>
          <w:tab w:val="left" w:pos="930"/>
        </w:tabs>
        <w:adjustRightInd w:val="0"/>
        <w:spacing w:line="360" w:lineRule="auto"/>
        <w:ind w:left="930" w:hanging="51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1）  《钢筋混凝土用钢第1部分：热轧光圆钢筋》（GB1499.1）</w:t>
      </w:r>
    </w:p>
    <w:p>
      <w:pPr>
        <w:widowControl/>
        <w:tabs>
          <w:tab w:val="left" w:pos="900"/>
          <w:tab w:val="left" w:pos="930"/>
        </w:tabs>
        <w:adjustRightInd w:val="0"/>
        <w:spacing w:line="360" w:lineRule="auto"/>
        <w:ind w:left="930" w:hanging="51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2）  《钢筋混凝土用钢第2部分：热轧带肋钢筋》（GB1499.2）</w:t>
      </w:r>
    </w:p>
    <w:p>
      <w:pPr>
        <w:widowControl/>
        <w:tabs>
          <w:tab w:val="left" w:pos="900"/>
          <w:tab w:val="left" w:pos="930"/>
        </w:tabs>
        <w:adjustRightInd w:val="0"/>
        <w:spacing w:line="360" w:lineRule="auto"/>
        <w:ind w:left="930" w:hanging="51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3）  《建筑抗震设计规范》（GB50011）</w:t>
      </w:r>
    </w:p>
    <w:p>
      <w:pPr>
        <w:widowControl/>
        <w:tabs>
          <w:tab w:val="left" w:pos="900"/>
          <w:tab w:val="left" w:pos="930"/>
        </w:tabs>
        <w:adjustRightInd w:val="0"/>
        <w:spacing w:line="360" w:lineRule="auto"/>
        <w:ind w:left="930" w:hanging="51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4）  《混凝土结构设计规范》（GB50010）</w:t>
      </w:r>
    </w:p>
    <w:p>
      <w:pPr>
        <w:widowControl/>
        <w:tabs>
          <w:tab w:val="left" w:pos="900"/>
          <w:tab w:val="left" w:pos="930"/>
        </w:tabs>
        <w:adjustRightInd w:val="0"/>
        <w:spacing w:line="360" w:lineRule="auto"/>
        <w:ind w:left="930" w:hanging="510"/>
        <w:jc w:val="left"/>
        <w:rPr>
          <w:rFonts w:hint="eastAsia" w:ascii="仿宋" w:hAnsi="仿宋" w:eastAsia="仿宋" w:cs="仿宋"/>
          <w:kern w:val="0"/>
          <w:sz w:val="24"/>
          <w:shd w:val="clear" w:color="auto" w:fill="FFFFFF"/>
          <w:lang w:val="zh-CN"/>
        </w:rPr>
      </w:pPr>
      <w:r>
        <w:rPr>
          <w:rFonts w:hint="eastAsia" w:ascii="仿宋" w:hAnsi="仿宋" w:eastAsia="仿宋" w:cs="仿宋"/>
          <w:kern w:val="0"/>
          <w:sz w:val="24"/>
          <w:shd w:val="clear" w:color="auto" w:fill="FFFFFF"/>
          <w:lang w:val="zh-CN"/>
        </w:rPr>
        <w:t>5）  国家及地方相关的现行技术规范规程</w:t>
      </w:r>
    </w:p>
    <w:p>
      <w:pPr>
        <w:pStyle w:val="6"/>
        <w:spacing w:line="360" w:lineRule="auto"/>
        <w:rPr>
          <w:rFonts w:hint="eastAsia" w:ascii="仿宋" w:hAnsi="仿宋" w:eastAsia="仿宋" w:cs="仿宋"/>
          <w:shd w:val="clear" w:color="auto" w:fill="FFFFFF"/>
        </w:rPr>
      </w:pPr>
    </w:p>
    <w:tbl>
      <w:tblPr>
        <w:tblStyle w:val="7"/>
        <w:tblW w:w="86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69"/>
        <w:gridCol w:w="7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trPr>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 w:hAnsi="仿宋" w:eastAsia="仿宋" w:cs="仿宋"/>
                <w:b/>
                <w:kern w:val="0"/>
                <w:sz w:val="24"/>
              </w:rPr>
            </w:pPr>
            <w:r>
              <w:rPr>
                <w:rFonts w:hint="eastAsia" w:ascii="仿宋" w:hAnsi="仿宋" w:eastAsia="仿宋" w:cs="仿宋"/>
                <w:b/>
                <w:kern w:val="0"/>
                <w:sz w:val="24"/>
              </w:rPr>
              <w:t>型号</w:t>
            </w:r>
          </w:p>
        </w:tc>
        <w:tc>
          <w:tcPr>
            <w:tcW w:w="730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 w:hAnsi="仿宋" w:eastAsia="仿宋" w:cs="仿宋"/>
                <w:b/>
                <w:kern w:val="0"/>
                <w:sz w:val="24"/>
              </w:rPr>
            </w:pPr>
            <w:r>
              <w:rPr>
                <w:rFonts w:hint="eastAsia" w:ascii="仿宋" w:hAnsi="仿宋" w:eastAsia="仿宋" w:cs="仿宋"/>
                <w:b/>
                <w:kern w:val="0"/>
                <w:sz w:val="24"/>
              </w:rPr>
              <w:t>主要技术性能指标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5" w:hRule="atLeast"/>
        </w:trPr>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HPB300</w:t>
            </w:r>
          </w:p>
        </w:tc>
        <w:tc>
          <w:tcPr>
            <w:tcW w:w="7303" w:type="dxa"/>
            <w:tcBorders>
              <w:top w:val="single" w:color="auto" w:sz="4" w:space="0"/>
              <w:left w:val="single" w:color="auto" w:sz="4" w:space="0"/>
              <w:bottom w:val="single" w:color="auto" w:sz="4" w:space="0"/>
              <w:right w:val="single" w:color="auto" w:sz="4" w:space="0"/>
            </w:tcBorders>
            <w:shd w:val="clear" w:color="auto" w:fill="auto"/>
          </w:tcPr>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1、屈服强度标准值不低于300MPa；</w:t>
            </w:r>
          </w:p>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2、强度标准值应有不小于95%的保证率；</w:t>
            </w:r>
          </w:p>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3、强度设计值不低于270MPa；</w:t>
            </w:r>
          </w:p>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4、最大力下的总伸长率不应小于10%；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65" w:hRule="atLeast"/>
        </w:trPr>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HRB400</w:t>
            </w:r>
          </w:p>
        </w:tc>
        <w:tc>
          <w:tcPr>
            <w:tcW w:w="7303" w:type="dxa"/>
            <w:tcBorders>
              <w:top w:val="single" w:color="auto" w:sz="4" w:space="0"/>
              <w:left w:val="single" w:color="auto" w:sz="4" w:space="0"/>
              <w:bottom w:val="single" w:color="auto" w:sz="4" w:space="0"/>
              <w:right w:val="single" w:color="auto" w:sz="4" w:space="0"/>
            </w:tcBorders>
            <w:shd w:val="clear" w:color="auto" w:fill="auto"/>
          </w:tcPr>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1、屈服强度标准值不低于400MPa；</w:t>
            </w:r>
          </w:p>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2、强度标准值应有不小于95%的保证率；</w:t>
            </w:r>
          </w:p>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3、强度设计值不低于360MPa；</w:t>
            </w:r>
          </w:p>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4、满足抗震要求：1）钢筋的抗拉强度实测值与屈服强度实测值的比值不应小于1.25；2）钢筋的屈服强度实测值与屈服强度标准值的比值不应大于1.30；3）钢筋在最大拉力下的总伸长率实测值不应小于9％。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3" w:hRule="atLeast"/>
        </w:trPr>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GFRP400</w:t>
            </w:r>
          </w:p>
        </w:tc>
        <w:tc>
          <w:tcPr>
            <w:tcW w:w="7303" w:type="dxa"/>
            <w:tcBorders>
              <w:top w:val="single" w:color="auto" w:sz="4" w:space="0"/>
              <w:left w:val="single" w:color="auto" w:sz="4" w:space="0"/>
              <w:bottom w:val="single" w:color="auto" w:sz="4" w:space="0"/>
              <w:right w:val="single" w:color="auto" w:sz="4" w:space="0"/>
            </w:tcBorders>
            <w:shd w:val="clear" w:color="auto" w:fill="auto"/>
          </w:tcPr>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1）抗拉强度标准值不低于500MPa；</w:t>
            </w:r>
          </w:p>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2）强度标准值应有不小于95%的保证率；</w:t>
            </w:r>
          </w:p>
          <w:p>
            <w:pPr>
              <w:widowControl/>
              <w:spacing w:line="360" w:lineRule="auto"/>
              <w:jc w:val="left"/>
              <w:rPr>
                <w:rFonts w:hint="eastAsia" w:ascii="仿宋" w:hAnsi="仿宋" w:eastAsia="仿宋" w:cs="仿宋"/>
                <w:kern w:val="0"/>
                <w:sz w:val="24"/>
              </w:rPr>
            </w:pPr>
            <w:r>
              <w:rPr>
                <w:rFonts w:hint="eastAsia" w:ascii="仿宋" w:hAnsi="仿宋" w:eastAsia="仿宋" w:cs="仿宋"/>
                <w:kern w:val="0"/>
                <w:sz w:val="24"/>
              </w:rPr>
              <w:t>3）弹性模量不低于35GPa。</w:t>
            </w:r>
          </w:p>
        </w:tc>
      </w:tr>
    </w:tbl>
    <w:p>
      <w:pPr>
        <w:widowControl/>
        <w:spacing w:line="360" w:lineRule="auto"/>
        <w:jc w:val="left"/>
        <w:rPr>
          <w:rFonts w:hint="eastAsia" w:ascii="仿宋" w:hAnsi="仿宋" w:eastAsia="仿宋" w:cs="仿宋"/>
          <w:kern w:val="0"/>
          <w:sz w:val="24"/>
          <w:shd w:val="clear" w:color="auto" w:fill="FFFFFF"/>
          <w:lang w:val="zh-CN"/>
        </w:rPr>
      </w:pPr>
    </w:p>
    <w:p>
      <w:pPr>
        <w:widowControl/>
        <w:spacing w:line="360" w:lineRule="auto"/>
        <w:ind w:firstLine="480" w:firstLineChars="200"/>
        <w:jc w:val="left"/>
        <w:rPr>
          <w:rFonts w:hint="eastAsia" w:ascii="仿宋" w:hAnsi="仿宋" w:eastAsia="仿宋" w:cs="仿宋"/>
          <w:sz w:val="24"/>
          <w:shd w:val="clear" w:color="auto" w:fill="FFFFFF"/>
        </w:rPr>
      </w:pPr>
      <w:r>
        <w:rPr>
          <w:rFonts w:hint="eastAsia" w:ascii="仿宋" w:hAnsi="仿宋" w:eastAsia="仿宋" w:cs="仿宋"/>
          <w:kern w:val="0"/>
          <w:sz w:val="24"/>
          <w:shd w:val="clear" w:color="auto" w:fill="FFFFFF"/>
        </w:rPr>
        <w:t>合格供应商企业库内单位需符合但不限于本文所列技术要求，具体以工程实施时的合同文件、设计文件、国家及地方相关的现行技术规范规程等为准。</w:t>
      </w:r>
    </w:p>
    <w:p>
      <w:pPr>
        <w:widowControl/>
        <w:spacing w:line="360" w:lineRule="auto"/>
        <w:ind w:firstLine="480" w:firstLineChars="200"/>
        <w:jc w:val="left"/>
        <w:rPr>
          <w:rFonts w:hint="eastAsia" w:ascii="仿宋" w:hAnsi="仿宋" w:eastAsia="仿宋" w:cs="仿宋"/>
          <w:kern w:val="0"/>
          <w:sz w:val="24"/>
          <w:shd w:val="clear" w:color="auto" w:fill="FFFFFF"/>
        </w:rPr>
      </w:pPr>
    </w:p>
    <w:p>
      <w:pPr>
        <w:widowControl/>
        <w:spacing w:line="360" w:lineRule="auto"/>
        <w:jc w:val="left"/>
        <w:rPr>
          <w:rFonts w:hint="eastAsia" w:ascii="仿宋" w:hAnsi="仿宋" w:eastAsia="仿宋" w:cs="仿宋"/>
          <w:b/>
          <w:kern w:val="0"/>
          <w:sz w:val="24"/>
          <w:shd w:val="clear" w:color="auto" w:fill="FFFFFF"/>
        </w:rPr>
      </w:pPr>
      <w:r>
        <w:rPr>
          <w:rFonts w:hint="eastAsia" w:ascii="仿宋" w:hAnsi="仿宋" w:eastAsia="仿宋" w:cs="仿宋"/>
          <w:b/>
          <w:kern w:val="0"/>
          <w:sz w:val="24"/>
          <w:shd w:val="clear" w:color="auto" w:fill="FFFFFF"/>
        </w:rPr>
        <w:t>3、管理要求</w:t>
      </w:r>
    </w:p>
    <w:p>
      <w:pPr>
        <w:widowControl/>
        <w:spacing w:line="360" w:lineRule="auto"/>
        <w:ind w:firstLine="480" w:firstLineChars="200"/>
        <w:jc w:val="left"/>
        <w:rPr>
          <w:rFonts w:hint="eastAsia" w:ascii="仿宋" w:hAnsi="仿宋" w:eastAsia="仿宋" w:cs="仿宋"/>
          <w:kern w:val="0"/>
          <w:sz w:val="24"/>
          <w:shd w:val="clear" w:color="auto" w:fill="FFFFFF"/>
        </w:rPr>
      </w:pPr>
      <w:r>
        <w:rPr>
          <w:rFonts w:hint="eastAsia" w:ascii="仿宋" w:hAnsi="仿宋" w:eastAsia="仿宋" w:cs="仿宋"/>
          <w:kern w:val="0"/>
          <w:sz w:val="24"/>
          <w:shd w:val="clear" w:color="auto" w:fill="FFFFFF"/>
        </w:rPr>
        <w:t>3.1如供应商报价经业主采纳，但无法按时保质供货的，供应商承担违约责任，同时供应商将被取消入库资格，并列入业主单位黑名单。</w:t>
      </w:r>
    </w:p>
    <w:p>
      <w:pPr>
        <w:widowControl/>
        <w:spacing w:line="360" w:lineRule="auto"/>
        <w:ind w:firstLine="480" w:firstLineChars="200"/>
        <w:jc w:val="left"/>
        <w:rPr>
          <w:rFonts w:hint="eastAsia" w:ascii="仿宋" w:hAnsi="仿宋" w:eastAsia="仿宋" w:cs="仿宋"/>
          <w:kern w:val="0"/>
          <w:sz w:val="24"/>
          <w:shd w:val="clear" w:color="auto" w:fill="FFFFFF"/>
        </w:rPr>
      </w:pPr>
      <w:r>
        <w:rPr>
          <w:rFonts w:hint="eastAsia" w:ascii="仿宋" w:hAnsi="仿宋" w:eastAsia="仿宋" w:cs="仿宋"/>
          <w:kern w:val="0"/>
          <w:sz w:val="24"/>
          <w:shd w:val="clear" w:color="auto" w:fill="FFFFFF"/>
        </w:rPr>
        <w:t>3.2如供应商报价经业主采纳，向业主单位供货的，在所供货物到业主指定地点、经业主验收合格后30日历天内，由业主单位一次性全额支付货款。</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F36CEC"/>
    <w:rsid w:val="00275562"/>
    <w:rsid w:val="002F302D"/>
    <w:rsid w:val="003A48F4"/>
    <w:rsid w:val="00440E80"/>
    <w:rsid w:val="005740CC"/>
    <w:rsid w:val="00676DB8"/>
    <w:rsid w:val="006C668F"/>
    <w:rsid w:val="0078440A"/>
    <w:rsid w:val="007A53A9"/>
    <w:rsid w:val="007D49D9"/>
    <w:rsid w:val="008574EA"/>
    <w:rsid w:val="008B0518"/>
    <w:rsid w:val="00917775"/>
    <w:rsid w:val="00D37D6C"/>
    <w:rsid w:val="00E421B9"/>
    <w:rsid w:val="00EF1811"/>
    <w:rsid w:val="00F35648"/>
    <w:rsid w:val="00FA5FA2"/>
    <w:rsid w:val="03084E98"/>
    <w:rsid w:val="03321681"/>
    <w:rsid w:val="0BB23087"/>
    <w:rsid w:val="0D831208"/>
    <w:rsid w:val="14495ED7"/>
    <w:rsid w:val="16F13CA3"/>
    <w:rsid w:val="19AA18C7"/>
    <w:rsid w:val="22862205"/>
    <w:rsid w:val="25142C5A"/>
    <w:rsid w:val="29006655"/>
    <w:rsid w:val="2E382C0D"/>
    <w:rsid w:val="308C7D69"/>
    <w:rsid w:val="33FC4872"/>
    <w:rsid w:val="35DB55C2"/>
    <w:rsid w:val="3B036765"/>
    <w:rsid w:val="3B126631"/>
    <w:rsid w:val="3DF35FDB"/>
    <w:rsid w:val="47A544AF"/>
    <w:rsid w:val="508E0DBB"/>
    <w:rsid w:val="51D900A9"/>
    <w:rsid w:val="53423DC9"/>
    <w:rsid w:val="53744FE2"/>
    <w:rsid w:val="559A05D7"/>
    <w:rsid w:val="5C6346CD"/>
    <w:rsid w:val="5CE23BA6"/>
    <w:rsid w:val="5DED1F6C"/>
    <w:rsid w:val="5DF23A5F"/>
    <w:rsid w:val="5EAC46B7"/>
    <w:rsid w:val="5F1E506E"/>
    <w:rsid w:val="608B2BC8"/>
    <w:rsid w:val="608C4F2C"/>
    <w:rsid w:val="63A7613A"/>
    <w:rsid w:val="641316C7"/>
    <w:rsid w:val="65542C46"/>
    <w:rsid w:val="6B0705BB"/>
    <w:rsid w:val="6BC24DC1"/>
    <w:rsid w:val="6D273A8A"/>
    <w:rsid w:val="6D535020"/>
    <w:rsid w:val="72543202"/>
    <w:rsid w:val="7294527D"/>
    <w:rsid w:val="731750A2"/>
    <w:rsid w:val="75BF0D8C"/>
    <w:rsid w:val="77170750"/>
    <w:rsid w:val="78F36CEC"/>
    <w:rsid w:val="79234570"/>
    <w:rsid w:val="79A51F5B"/>
    <w:rsid w:val="7C9671A3"/>
    <w:rsid w:val="7D186A4E"/>
    <w:rsid w:val="7F9C43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jc w:val="left"/>
      <w:outlineLvl w:val="1"/>
    </w:pPr>
    <w:rPr>
      <w:rFonts w:hint="eastAsia" w:ascii="宋体" w:hAnsi="宋体" w:eastAsia="宋体" w:cs="Times New Roman"/>
      <w:b/>
      <w:kern w:val="0"/>
      <w:sz w:val="36"/>
      <w:szCs w:val="36"/>
    </w:rPr>
  </w:style>
  <w:style w:type="paragraph" w:styleId="3">
    <w:name w:val="heading 3"/>
    <w:basedOn w:val="1"/>
    <w:next w:val="1"/>
    <w:semiHidden/>
    <w:unhideWhenUsed/>
    <w:qFormat/>
    <w:uiPriority w:val="0"/>
    <w:pPr>
      <w:jc w:val="left"/>
      <w:outlineLvl w:val="2"/>
    </w:pPr>
    <w:rPr>
      <w:rFonts w:hint="eastAsia" w:ascii="宋体" w:hAnsi="宋体" w:eastAsia="宋体" w:cs="Times New Roman"/>
      <w:b/>
      <w:kern w:val="0"/>
      <w:sz w:val="27"/>
      <w:szCs w:val="27"/>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5"/>
    <w:qFormat/>
    <w:uiPriority w:val="0"/>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rPr>
      <w:sz w:val="24"/>
    </w:rPr>
  </w:style>
  <w:style w:type="character" w:styleId="9">
    <w:name w:val="FollowedHyperlink"/>
    <w:basedOn w:val="8"/>
    <w:qFormat/>
    <w:uiPriority w:val="0"/>
    <w:rPr>
      <w:color w:val="000000"/>
      <w:u w:val="none"/>
    </w:rPr>
  </w:style>
  <w:style w:type="character" w:styleId="10">
    <w:name w:val="Hyperlink"/>
    <w:basedOn w:val="8"/>
    <w:qFormat/>
    <w:uiPriority w:val="0"/>
    <w:rPr>
      <w:color w:val="000000"/>
      <w:u w:val="none"/>
    </w:rPr>
  </w:style>
  <w:style w:type="character" w:customStyle="1" w:styleId="11">
    <w:name w:val="times"/>
    <w:basedOn w:val="8"/>
    <w:qFormat/>
    <w:uiPriority w:val="0"/>
    <w:rPr>
      <w:color w:val="3399FF"/>
      <w:bdr w:val="single" w:color="D1EDF8" w:sz="6" w:space="0"/>
      <w:shd w:val="clear" w:color="auto" w:fill="EAF9FF"/>
    </w:rPr>
  </w:style>
  <w:style w:type="character" w:customStyle="1" w:styleId="12">
    <w:name w:val="times1"/>
    <w:basedOn w:val="8"/>
    <w:qFormat/>
    <w:uiPriority w:val="0"/>
    <w:rPr>
      <w:color w:val="CDCDCD"/>
      <w:bdr w:val="single" w:color="CDCDCD" w:sz="6" w:space="0"/>
      <w:shd w:val="clear" w:color="auto" w:fill="EFEFEF"/>
    </w:rPr>
  </w:style>
  <w:style w:type="character" w:customStyle="1" w:styleId="13">
    <w:name w:val="hover37"/>
    <w:basedOn w:val="8"/>
    <w:qFormat/>
    <w:uiPriority w:val="0"/>
  </w:style>
  <w:style w:type="character" w:customStyle="1" w:styleId="14">
    <w:name w:val="页眉 字符"/>
    <w:basedOn w:val="8"/>
    <w:link w:val="5"/>
    <w:qFormat/>
    <w:uiPriority w:val="0"/>
    <w:rPr>
      <w:rFonts w:asciiTheme="minorHAnsi" w:hAnsiTheme="minorHAnsi" w:eastAsiaTheme="minorEastAsia" w:cstheme="minorBidi"/>
      <w:kern w:val="2"/>
      <w:sz w:val="18"/>
      <w:szCs w:val="18"/>
    </w:rPr>
  </w:style>
  <w:style w:type="character" w:customStyle="1" w:styleId="15">
    <w:name w:val="页脚 字符"/>
    <w:basedOn w:val="8"/>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GZJC-20170706QV\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19</Pages>
  <Words>1527</Words>
  <Characters>8708</Characters>
  <Lines>72</Lines>
  <Paragraphs>20</Paragraphs>
  <TotalTime>9</TotalTime>
  <ScaleCrop>false</ScaleCrop>
  <LinksUpToDate>false</LinksUpToDate>
  <CharactersWithSpaces>10215</CharactersWithSpaces>
  <Application>WPS Office_11.3.0.9221_F1E327BC-269C-435d-A152-05C5408002CA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2018-08-13T07:32:00Z</dcterms:created>
  <dc:creator>夜语·无声</dc:creator>
  <cp:lastModifiedBy>LCK</cp:lastModifiedBy>
  <cp:lastPrinted>2020-04-08T06:39:00Z</cp:lastPrinted>
  <dcterms:modified xsi:type="dcterms:W3CDTF">2020-04-10T00:49:52Z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2052-11.3.0.9221</vt:lpwstr>
  </property>
</Properties>
</file>